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E52A6B" w:rsidRPr="00463394" w:rsidTr="00E52A6B">
        <w:tc>
          <w:tcPr>
            <w:tcW w:w="2552" w:type="dxa"/>
            <w:tcBorders>
              <w:left w:val="nil"/>
            </w:tcBorders>
            <w:shd w:val="clear" w:color="auto" w:fill="D9D9D9"/>
            <w:vAlign w:val="center"/>
          </w:tcPr>
          <w:p w:rsidR="00E52A6B" w:rsidRPr="00463394" w:rsidRDefault="00E52A6B" w:rsidP="00D43A72">
            <w:pPr>
              <w:pStyle w:val="Tabletext"/>
              <w:jc w:val="left"/>
              <w:rPr>
                <w:rFonts w:cs="Arial"/>
                <w:szCs w:val="22"/>
              </w:rPr>
            </w:pPr>
            <w:bookmarkStart w:id="0" w:name="_GoBack" w:colFirst="0" w:colLast="0"/>
            <w:r w:rsidRPr="00463394">
              <w:rPr>
                <w:rFonts w:cs="Arial"/>
                <w:szCs w:val="22"/>
              </w:rPr>
              <w:t>Job title</w:t>
            </w:r>
          </w:p>
        </w:tc>
        <w:tc>
          <w:tcPr>
            <w:tcW w:w="6804" w:type="dxa"/>
            <w:tcBorders>
              <w:right w:val="nil"/>
            </w:tcBorders>
            <w:vAlign w:val="center"/>
          </w:tcPr>
          <w:p w:rsidR="00E52A6B" w:rsidRPr="00463394" w:rsidRDefault="00E52A6B" w:rsidP="00D43A72">
            <w:pPr>
              <w:pStyle w:val="Tabletext"/>
              <w:jc w:val="left"/>
              <w:rPr>
                <w:rFonts w:cs="Arial"/>
                <w:b w:val="0"/>
                <w:szCs w:val="22"/>
              </w:rPr>
            </w:pPr>
            <w:r w:rsidRPr="00463394">
              <w:rPr>
                <w:rFonts w:cs="Arial"/>
                <w:b w:val="0"/>
                <w:szCs w:val="22"/>
              </w:rPr>
              <w:t>Marie Skłodowska-Curie Innovative Training Network Early-Stage Researcher (ESR) Fellowship</w:t>
            </w:r>
          </w:p>
        </w:tc>
      </w:tr>
      <w:tr w:rsidR="00E52A6B" w:rsidRPr="00463394" w:rsidTr="00E52A6B">
        <w:tc>
          <w:tcPr>
            <w:tcW w:w="2552" w:type="dxa"/>
            <w:tcBorders>
              <w:left w:val="nil"/>
            </w:tcBorders>
            <w:shd w:val="clear" w:color="auto" w:fill="D9D9D9"/>
            <w:vAlign w:val="center"/>
          </w:tcPr>
          <w:p w:rsidR="00E52A6B" w:rsidRPr="00475FC5" w:rsidRDefault="00E52A6B" w:rsidP="00D43A72">
            <w:pPr>
              <w:pStyle w:val="Tabletext"/>
              <w:jc w:val="left"/>
              <w:rPr>
                <w:rFonts w:cs="Arial"/>
                <w:szCs w:val="22"/>
              </w:rPr>
            </w:pPr>
            <w:r w:rsidRPr="00475FC5">
              <w:rPr>
                <w:rFonts w:cs="Arial"/>
                <w:szCs w:val="22"/>
              </w:rPr>
              <w:t>Division</w:t>
            </w:r>
          </w:p>
        </w:tc>
        <w:tc>
          <w:tcPr>
            <w:tcW w:w="6804" w:type="dxa"/>
            <w:tcBorders>
              <w:right w:val="nil"/>
            </w:tcBorders>
            <w:vAlign w:val="center"/>
          </w:tcPr>
          <w:p w:rsidR="00E52A6B" w:rsidRPr="00475FC5" w:rsidRDefault="00E52A6B" w:rsidP="00D43A72">
            <w:pPr>
              <w:pStyle w:val="Tabletext"/>
              <w:jc w:val="left"/>
              <w:rPr>
                <w:rFonts w:cs="Arial"/>
                <w:b w:val="0"/>
                <w:szCs w:val="22"/>
              </w:rPr>
            </w:pPr>
            <w:r w:rsidRPr="00475FC5">
              <w:rPr>
                <w:rFonts w:cs="Arial"/>
                <w:b w:val="0"/>
                <w:szCs w:val="22"/>
              </w:rPr>
              <w:t>Medical Sciences Division</w:t>
            </w:r>
          </w:p>
        </w:tc>
      </w:tr>
      <w:tr w:rsidR="00E52A6B" w:rsidRPr="00463394" w:rsidTr="00E52A6B">
        <w:tc>
          <w:tcPr>
            <w:tcW w:w="2552" w:type="dxa"/>
            <w:tcBorders>
              <w:left w:val="nil"/>
            </w:tcBorders>
            <w:shd w:val="clear" w:color="auto" w:fill="D9D9D9"/>
            <w:vAlign w:val="center"/>
          </w:tcPr>
          <w:p w:rsidR="00E52A6B" w:rsidRPr="00475FC5" w:rsidRDefault="00E52A6B" w:rsidP="00D43A72">
            <w:pPr>
              <w:pStyle w:val="Tabletext"/>
              <w:jc w:val="left"/>
              <w:rPr>
                <w:rFonts w:cs="Arial"/>
                <w:szCs w:val="22"/>
              </w:rPr>
            </w:pPr>
            <w:r w:rsidRPr="00475FC5">
              <w:rPr>
                <w:rFonts w:cs="Arial"/>
                <w:szCs w:val="22"/>
              </w:rPr>
              <w:t xml:space="preserve">Department </w:t>
            </w:r>
          </w:p>
        </w:tc>
        <w:tc>
          <w:tcPr>
            <w:tcW w:w="6804" w:type="dxa"/>
            <w:tcBorders>
              <w:right w:val="nil"/>
            </w:tcBorders>
            <w:vAlign w:val="center"/>
          </w:tcPr>
          <w:p w:rsidR="00E52A6B" w:rsidRPr="00475FC5" w:rsidRDefault="00E52A6B" w:rsidP="00D43A72">
            <w:pPr>
              <w:pStyle w:val="Tabletext"/>
              <w:jc w:val="left"/>
              <w:rPr>
                <w:rFonts w:cs="Arial"/>
                <w:b w:val="0"/>
                <w:szCs w:val="22"/>
              </w:rPr>
            </w:pPr>
            <w:r w:rsidRPr="00475FC5">
              <w:rPr>
                <w:rFonts w:cs="Arial"/>
                <w:b w:val="0"/>
                <w:szCs w:val="22"/>
              </w:rPr>
              <w:t>Department of Experimental Psychology</w:t>
            </w:r>
          </w:p>
        </w:tc>
      </w:tr>
      <w:tr w:rsidR="00E52A6B" w:rsidRPr="00463394" w:rsidTr="00E52A6B">
        <w:tc>
          <w:tcPr>
            <w:tcW w:w="2552" w:type="dxa"/>
            <w:tcBorders>
              <w:left w:val="nil"/>
            </w:tcBorders>
            <w:shd w:val="clear" w:color="auto" w:fill="D9D9D9"/>
            <w:vAlign w:val="center"/>
          </w:tcPr>
          <w:p w:rsidR="00E52A6B" w:rsidRPr="00463394" w:rsidRDefault="00E52A6B" w:rsidP="00D43A72">
            <w:pPr>
              <w:pStyle w:val="Tabletext"/>
              <w:jc w:val="left"/>
              <w:rPr>
                <w:rFonts w:cs="Arial"/>
                <w:szCs w:val="22"/>
              </w:rPr>
            </w:pPr>
            <w:r w:rsidRPr="00463394">
              <w:rPr>
                <w:rFonts w:cs="Arial"/>
                <w:szCs w:val="22"/>
              </w:rPr>
              <w:t>Location</w:t>
            </w:r>
          </w:p>
        </w:tc>
        <w:tc>
          <w:tcPr>
            <w:tcW w:w="6804" w:type="dxa"/>
            <w:tcBorders>
              <w:right w:val="nil"/>
            </w:tcBorders>
            <w:vAlign w:val="center"/>
          </w:tcPr>
          <w:p w:rsidR="00E52A6B" w:rsidRPr="00463394" w:rsidRDefault="00E52A6B" w:rsidP="00D43A72">
            <w:pPr>
              <w:pStyle w:val="Tabletext"/>
              <w:jc w:val="left"/>
              <w:rPr>
                <w:rFonts w:cs="Arial"/>
                <w:b w:val="0"/>
                <w:szCs w:val="22"/>
              </w:rPr>
            </w:pPr>
            <w:r>
              <w:rPr>
                <w:rFonts w:cs="Arial"/>
                <w:b w:val="0"/>
                <w:szCs w:val="22"/>
              </w:rPr>
              <w:t xml:space="preserve">Anna Watts Building, </w:t>
            </w:r>
            <w:r w:rsidR="00E271CB">
              <w:rPr>
                <w:rFonts w:cs="Arial"/>
                <w:b w:val="0"/>
                <w:szCs w:val="22"/>
              </w:rPr>
              <w:t>Woodstock Road, OX2 6GG</w:t>
            </w:r>
          </w:p>
        </w:tc>
      </w:tr>
      <w:tr w:rsidR="00E52A6B" w:rsidRPr="00463394" w:rsidTr="00E52A6B">
        <w:tc>
          <w:tcPr>
            <w:tcW w:w="2552" w:type="dxa"/>
            <w:tcBorders>
              <w:left w:val="nil"/>
            </w:tcBorders>
            <w:shd w:val="clear" w:color="auto" w:fill="D9D9D9"/>
            <w:vAlign w:val="center"/>
          </w:tcPr>
          <w:p w:rsidR="00E52A6B" w:rsidRPr="00463394" w:rsidRDefault="00E52A6B" w:rsidP="00D43A72">
            <w:pPr>
              <w:pStyle w:val="Tabletext"/>
              <w:jc w:val="left"/>
              <w:rPr>
                <w:rFonts w:cs="Arial"/>
                <w:szCs w:val="22"/>
              </w:rPr>
            </w:pPr>
            <w:r w:rsidRPr="00463394">
              <w:rPr>
                <w:rFonts w:cs="Arial"/>
                <w:szCs w:val="22"/>
              </w:rPr>
              <w:t>Remuneration</w:t>
            </w:r>
          </w:p>
        </w:tc>
        <w:tc>
          <w:tcPr>
            <w:tcW w:w="6804" w:type="dxa"/>
            <w:tcBorders>
              <w:right w:val="nil"/>
            </w:tcBorders>
            <w:vAlign w:val="center"/>
          </w:tcPr>
          <w:p w:rsidR="00E52A6B" w:rsidRPr="00463394" w:rsidRDefault="00E52A6B" w:rsidP="00D43A72">
            <w:pPr>
              <w:rPr>
                <w:rFonts w:cs="Arial"/>
                <w:szCs w:val="22"/>
              </w:rPr>
            </w:pPr>
            <w:r w:rsidRPr="00463394">
              <w:rPr>
                <w:rFonts w:cs="Arial"/>
                <w:szCs w:val="22"/>
              </w:rPr>
              <w:t>see Payment arrangements and benefits below</w:t>
            </w:r>
          </w:p>
        </w:tc>
      </w:tr>
      <w:tr w:rsidR="00E52A6B" w:rsidRPr="00463394" w:rsidTr="00E52A6B">
        <w:tc>
          <w:tcPr>
            <w:tcW w:w="2552" w:type="dxa"/>
            <w:tcBorders>
              <w:left w:val="nil"/>
            </w:tcBorders>
            <w:shd w:val="clear" w:color="auto" w:fill="D9D9D9"/>
            <w:vAlign w:val="center"/>
          </w:tcPr>
          <w:p w:rsidR="00E52A6B" w:rsidRPr="00463394" w:rsidRDefault="00E52A6B" w:rsidP="00D43A72">
            <w:pPr>
              <w:pStyle w:val="Tabletext"/>
              <w:jc w:val="left"/>
              <w:rPr>
                <w:rFonts w:cs="Arial"/>
                <w:szCs w:val="22"/>
              </w:rPr>
            </w:pPr>
            <w:r w:rsidRPr="00463394">
              <w:rPr>
                <w:rFonts w:cs="Arial"/>
                <w:szCs w:val="22"/>
              </w:rPr>
              <w:t>Hours</w:t>
            </w:r>
          </w:p>
        </w:tc>
        <w:tc>
          <w:tcPr>
            <w:tcW w:w="6804" w:type="dxa"/>
            <w:tcBorders>
              <w:right w:val="nil"/>
            </w:tcBorders>
            <w:vAlign w:val="center"/>
          </w:tcPr>
          <w:p w:rsidR="00E52A6B" w:rsidRPr="00463394" w:rsidRDefault="00E52A6B" w:rsidP="00D43A72">
            <w:pPr>
              <w:pStyle w:val="Tabletext"/>
              <w:jc w:val="left"/>
              <w:rPr>
                <w:rFonts w:cs="Arial"/>
                <w:b w:val="0"/>
                <w:szCs w:val="22"/>
              </w:rPr>
            </w:pPr>
            <w:r w:rsidRPr="00463394">
              <w:rPr>
                <w:rFonts w:cs="Arial"/>
                <w:b w:val="0"/>
                <w:szCs w:val="22"/>
              </w:rPr>
              <w:t>Full Time</w:t>
            </w:r>
          </w:p>
        </w:tc>
      </w:tr>
      <w:tr w:rsidR="00E52A6B" w:rsidRPr="00463394" w:rsidTr="00E52A6B">
        <w:tc>
          <w:tcPr>
            <w:tcW w:w="2552" w:type="dxa"/>
            <w:tcBorders>
              <w:left w:val="nil"/>
            </w:tcBorders>
            <w:shd w:val="clear" w:color="auto" w:fill="D9D9D9"/>
            <w:vAlign w:val="center"/>
          </w:tcPr>
          <w:p w:rsidR="00E52A6B" w:rsidRPr="00463394" w:rsidRDefault="00E52A6B" w:rsidP="00D43A72">
            <w:pPr>
              <w:pStyle w:val="Tabletext"/>
              <w:jc w:val="left"/>
              <w:rPr>
                <w:rFonts w:cs="Arial"/>
                <w:szCs w:val="22"/>
              </w:rPr>
            </w:pPr>
            <w:r w:rsidRPr="00463394">
              <w:rPr>
                <w:rFonts w:cs="Arial"/>
                <w:szCs w:val="22"/>
              </w:rPr>
              <w:t>Contract type</w:t>
            </w:r>
          </w:p>
        </w:tc>
        <w:tc>
          <w:tcPr>
            <w:tcW w:w="6804" w:type="dxa"/>
            <w:tcBorders>
              <w:right w:val="nil"/>
            </w:tcBorders>
            <w:vAlign w:val="center"/>
          </w:tcPr>
          <w:p w:rsidR="00E52A6B" w:rsidRPr="00463394" w:rsidRDefault="00E52A6B" w:rsidP="00D43A72">
            <w:pPr>
              <w:pStyle w:val="Tabletext"/>
              <w:jc w:val="left"/>
              <w:rPr>
                <w:rFonts w:cs="Arial"/>
                <w:b w:val="0"/>
                <w:szCs w:val="22"/>
              </w:rPr>
            </w:pPr>
            <w:r w:rsidRPr="00463394">
              <w:rPr>
                <w:rFonts w:cs="Arial"/>
                <w:b w:val="0"/>
                <w:szCs w:val="22"/>
              </w:rPr>
              <w:t xml:space="preserve">Fixed term for </w:t>
            </w:r>
            <w:r w:rsidRPr="003D52C2">
              <w:rPr>
                <w:rFonts w:cs="Arial"/>
                <w:b w:val="0"/>
                <w:szCs w:val="22"/>
              </w:rPr>
              <w:t>3</w:t>
            </w:r>
            <w:r w:rsidRPr="00463394">
              <w:rPr>
                <w:rFonts w:cs="Arial"/>
                <w:b w:val="0"/>
                <w:szCs w:val="22"/>
              </w:rPr>
              <w:t xml:space="preserve"> years</w:t>
            </w:r>
          </w:p>
        </w:tc>
      </w:tr>
      <w:tr w:rsidR="00E52A6B" w:rsidRPr="00463394" w:rsidTr="00E52A6B">
        <w:tc>
          <w:tcPr>
            <w:tcW w:w="2552" w:type="dxa"/>
            <w:tcBorders>
              <w:left w:val="nil"/>
            </w:tcBorders>
            <w:shd w:val="clear" w:color="auto" w:fill="D9D9D9"/>
            <w:vAlign w:val="center"/>
          </w:tcPr>
          <w:p w:rsidR="00E52A6B" w:rsidRPr="00463394" w:rsidRDefault="00E52A6B" w:rsidP="00D43A72">
            <w:pPr>
              <w:pStyle w:val="Tabletext"/>
              <w:jc w:val="left"/>
              <w:rPr>
                <w:rFonts w:cs="Arial"/>
                <w:szCs w:val="22"/>
              </w:rPr>
            </w:pPr>
            <w:r>
              <w:rPr>
                <w:rFonts w:cs="Arial"/>
                <w:szCs w:val="22"/>
              </w:rPr>
              <w:t>Reporting to</w:t>
            </w:r>
          </w:p>
        </w:tc>
        <w:tc>
          <w:tcPr>
            <w:tcW w:w="6804" w:type="dxa"/>
            <w:tcBorders>
              <w:right w:val="nil"/>
            </w:tcBorders>
            <w:vAlign w:val="center"/>
          </w:tcPr>
          <w:p w:rsidR="00E52A6B" w:rsidRPr="00463394" w:rsidRDefault="00E52A6B" w:rsidP="00D43A72">
            <w:pPr>
              <w:pStyle w:val="Tabletext"/>
              <w:jc w:val="left"/>
              <w:rPr>
                <w:rFonts w:cs="Arial"/>
                <w:b w:val="0"/>
                <w:szCs w:val="22"/>
              </w:rPr>
            </w:pPr>
            <w:r>
              <w:rPr>
                <w:rFonts w:cs="Arial"/>
                <w:b w:val="0"/>
                <w:szCs w:val="22"/>
              </w:rPr>
              <w:t>Professor Hannah Smithson</w:t>
            </w:r>
          </w:p>
        </w:tc>
      </w:tr>
      <w:tr w:rsidR="00E52A6B" w:rsidRPr="00463394" w:rsidTr="00E52A6B">
        <w:tc>
          <w:tcPr>
            <w:tcW w:w="2552" w:type="dxa"/>
            <w:tcBorders>
              <w:left w:val="nil"/>
            </w:tcBorders>
            <w:shd w:val="clear" w:color="auto" w:fill="D9D9D9"/>
            <w:vAlign w:val="center"/>
          </w:tcPr>
          <w:p w:rsidR="00E52A6B" w:rsidRDefault="00E52A6B" w:rsidP="00D43A72">
            <w:pPr>
              <w:pStyle w:val="Tabletext"/>
              <w:jc w:val="left"/>
              <w:rPr>
                <w:rFonts w:cs="Arial"/>
                <w:szCs w:val="22"/>
              </w:rPr>
            </w:pPr>
            <w:r>
              <w:rPr>
                <w:rFonts w:cs="Arial"/>
                <w:szCs w:val="22"/>
              </w:rPr>
              <w:t>Vacancy reference</w:t>
            </w:r>
          </w:p>
        </w:tc>
        <w:tc>
          <w:tcPr>
            <w:tcW w:w="6804" w:type="dxa"/>
            <w:tcBorders>
              <w:right w:val="nil"/>
            </w:tcBorders>
            <w:vAlign w:val="center"/>
          </w:tcPr>
          <w:p w:rsidR="00E52A6B" w:rsidRDefault="00E271CB" w:rsidP="00D43A72">
            <w:pPr>
              <w:pStyle w:val="Tabletext"/>
              <w:jc w:val="left"/>
              <w:rPr>
                <w:rFonts w:cs="Arial"/>
                <w:b w:val="0"/>
                <w:szCs w:val="22"/>
              </w:rPr>
            </w:pPr>
            <w:r>
              <w:rPr>
                <w:rFonts w:cs="Arial"/>
                <w:b w:val="0"/>
                <w:szCs w:val="22"/>
              </w:rPr>
              <w:t>Job reference: 134773</w:t>
            </w:r>
            <w:r w:rsidR="00E52A6B">
              <w:rPr>
                <w:rFonts w:cs="Arial"/>
                <w:b w:val="0"/>
                <w:szCs w:val="22"/>
              </w:rPr>
              <w:t xml:space="preserve">  / Studentship reference: 18EXPSY01WEB</w:t>
            </w:r>
          </w:p>
        </w:tc>
      </w:tr>
      <w:tr w:rsidR="00E52A6B" w:rsidRPr="00463394" w:rsidTr="00E52A6B">
        <w:tc>
          <w:tcPr>
            <w:tcW w:w="2552" w:type="dxa"/>
            <w:tcBorders>
              <w:left w:val="nil"/>
            </w:tcBorders>
            <w:shd w:val="clear" w:color="auto" w:fill="D9D9D9"/>
            <w:vAlign w:val="center"/>
          </w:tcPr>
          <w:p w:rsidR="00E52A6B" w:rsidRDefault="00E52A6B" w:rsidP="00D43A72">
            <w:pPr>
              <w:pStyle w:val="Tabletext"/>
              <w:jc w:val="left"/>
              <w:rPr>
                <w:rFonts w:cs="Arial"/>
                <w:szCs w:val="22"/>
              </w:rPr>
            </w:pPr>
            <w:r>
              <w:rPr>
                <w:rFonts w:cs="Arial"/>
                <w:szCs w:val="22"/>
              </w:rPr>
              <w:t>College</w:t>
            </w:r>
          </w:p>
        </w:tc>
        <w:tc>
          <w:tcPr>
            <w:tcW w:w="6804" w:type="dxa"/>
            <w:tcBorders>
              <w:right w:val="nil"/>
            </w:tcBorders>
            <w:vAlign w:val="center"/>
          </w:tcPr>
          <w:p w:rsidR="00E52A6B" w:rsidRDefault="00E52A6B" w:rsidP="00D43A72">
            <w:pPr>
              <w:pStyle w:val="Tabletext"/>
              <w:jc w:val="left"/>
              <w:rPr>
                <w:rFonts w:cs="Arial"/>
                <w:b w:val="0"/>
                <w:szCs w:val="22"/>
              </w:rPr>
            </w:pPr>
            <w:r>
              <w:rPr>
                <w:rFonts w:cs="Arial"/>
                <w:b w:val="0"/>
                <w:szCs w:val="22"/>
              </w:rPr>
              <w:t>Pembroke College</w:t>
            </w:r>
          </w:p>
        </w:tc>
      </w:tr>
      <w:tr w:rsidR="00E52A6B" w:rsidRPr="00463394" w:rsidTr="00E52A6B">
        <w:tc>
          <w:tcPr>
            <w:tcW w:w="2552" w:type="dxa"/>
            <w:tcBorders>
              <w:left w:val="nil"/>
            </w:tcBorders>
            <w:shd w:val="clear" w:color="auto" w:fill="D9D9D9"/>
            <w:vAlign w:val="center"/>
          </w:tcPr>
          <w:p w:rsidR="00E52A6B" w:rsidRDefault="00E52A6B" w:rsidP="00D43A72">
            <w:pPr>
              <w:pStyle w:val="Tabletext"/>
              <w:jc w:val="left"/>
              <w:rPr>
                <w:rFonts w:cs="Arial"/>
                <w:szCs w:val="22"/>
              </w:rPr>
            </w:pPr>
            <w:r>
              <w:rPr>
                <w:rFonts w:cs="Arial"/>
                <w:szCs w:val="22"/>
              </w:rPr>
              <w:t>Closing date</w:t>
            </w:r>
          </w:p>
        </w:tc>
        <w:tc>
          <w:tcPr>
            <w:tcW w:w="6804" w:type="dxa"/>
            <w:tcBorders>
              <w:right w:val="nil"/>
            </w:tcBorders>
            <w:vAlign w:val="center"/>
          </w:tcPr>
          <w:p w:rsidR="00E52A6B" w:rsidRDefault="00E52A6B" w:rsidP="00D43A72">
            <w:pPr>
              <w:pStyle w:val="Tabletext"/>
              <w:jc w:val="left"/>
              <w:rPr>
                <w:rFonts w:cs="Arial"/>
                <w:b w:val="0"/>
                <w:szCs w:val="22"/>
              </w:rPr>
            </w:pPr>
            <w:r>
              <w:rPr>
                <w:rFonts w:cs="Arial"/>
                <w:b w:val="0"/>
                <w:szCs w:val="22"/>
              </w:rPr>
              <w:t>1</w:t>
            </w:r>
            <w:r w:rsidRPr="00E52A6B">
              <w:rPr>
                <w:rFonts w:cs="Arial"/>
                <w:b w:val="0"/>
                <w:szCs w:val="22"/>
                <w:vertAlign w:val="superscript"/>
              </w:rPr>
              <w:t>st</w:t>
            </w:r>
            <w:r>
              <w:rPr>
                <w:rFonts w:cs="Arial"/>
                <w:b w:val="0"/>
                <w:szCs w:val="22"/>
              </w:rPr>
              <w:t xml:space="preserve"> June 2018</w:t>
            </w:r>
          </w:p>
        </w:tc>
      </w:tr>
      <w:bookmarkEnd w:id="0"/>
    </w:tbl>
    <w:p w:rsidR="00E52A6B" w:rsidRPr="00463394" w:rsidRDefault="00E52A6B" w:rsidP="00E52A6B">
      <w:pPr>
        <w:rPr>
          <w:kern w:val="32"/>
          <w:szCs w:val="22"/>
          <w:lang w:eastAsia="en-US"/>
        </w:rPr>
      </w:pPr>
    </w:p>
    <w:tbl>
      <w:tblPr>
        <w:tblW w:w="0" w:type="auto"/>
        <w:tblInd w:w="142" w:type="dxa"/>
        <w:tblBorders>
          <w:top w:val="single" w:sz="4" w:space="0" w:color="000000"/>
          <w:bottom w:val="single" w:sz="4" w:space="0" w:color="000000"/>
          <w:insideH w:val="single" w:sz="4" w:space="0" w:color="000000"/>
          <w:insideV w:val="single" w:sz="4" w:space="0" w:color="auto"/>
        </w:tblBorders>
        <w:tblLook w:val="01E0" w:firstRow="1" w:lastRow="1" w:firstColumn="1" w:lastColumn="1" w:noHBand="0" w:noVBand="0"/>
      </w:tblPr>
      <w:tblGrid>
        <w:gridCol w:w="2445"/>
        <w:gridCol w:w="6745"/>
      </w:tblGrid>
      <w:tr w:rsidR="00E52A6B" w:rsidRPr="00463394" w:rsidTr="00E52A6B">
        <w:tc>
          <w:tcPr>
            <w:tcW w:w="2465" w:type="dxa"/>
            <w:shd w:val="clear" w:color="auto" w:fill="D9D9D9"/>
            <w:vAlign w:val="center"/>
          </w:tcPr>
          <w:p w:rsidR="00E52A6B" w:rsidRPr="00475FC5" w:rsidRDefault="00E52A6B" w:rsidP="00D43A72">
            <w:pPr>
              <w:pStyle w:val="Tabletext"/>
              <w:rPr>
                <w:rFonts w:cs="Arial"/>
                <w:szCs w:val="22"/>
              </w:rPr>
            </w:pPr>
            <w:r w:rsidRPr="00475FC5">
              <w:rPr>
                <w:rFonts w:cs="Arial"/>
                <w:szCs w:val="22"/>
              </w:rPr>
              <w:t>Research topic</w:t>
            </w:r>
          </w:p>
        </w:tc>
        <w:tc>
          <w:tcPr>
            <w:tcW w:w="6857" w:type="dxa"/>
            <w:vAlign w:val="center"/>
          </w:tcPr>
          <w:p w:rsidR="00E52A6B" w:rsidRPr="00475FC5" w:rsidRDefault="00E52A6B" w:rsidP="00D43A72">
            <w:pPr>
              <w:pStyle w:val="NormalWeb"/>
              <w:spacing w:before="100" w:after="100"/>
              <w:jc w:val="both"/>
              <w:rPr>
                <w:sz w:val="22"/>
                <w:szCs w:val="22"/>
              </w:rPr>
            </w:pPr>
            <w:r w:rsidRPr="00475FC5">
              <w:rPr>
                <w:sz w:val="22"/>
                <w:szCs w:val="22"/>
              </w:rPr>
              <w:t>Human colour vision</w:t>
            </w:r>
          </w:p>
        </w:tc>
      </w:tr>
      <w:tr w:rsidR="00E52A6B" w:rsidRPr="00463394" w:rsidTr="00E52A6B">
        <w:tc>
          <w:tcPr>
            <w:tcW w:w="2465" w:type="dxa"/>
            <w:shd w:val="clear" w:color="auto" w:fill="D9D9D9"/>
            <w:vAlign w:val="center"/>
          </w:tcPr>
          <w:p w:rsidR="00E52A6B" w:rsidRPr="00475FC5" w:rsidRDefault="00E52A6B" w:rsidP="00D43A72">
            <w:pPr>
              <w:pStyle w:val="Tabletext"/>
              <w:jc w:val="left"/>
              <w:rPr>
                <w:rFonts w:cs="Arial"/>
                <w:szCs w:val="22"/>
              </w:rPr>
            </w:pPr>
            <w:r w:rsidRPr="00475FC5">
              <w:rPr>
                <w:rFonts w:cs="Arial"/>
                <w:szCs w:val="22"/>
              </w:rPr>
              <w:t>Principal Investigator / supervisor</w:t>
            </w:r>
          </w:p>
        </w:tc>
        <w:tc>
          <w:tcPr>
            <w:tcW w:w="6857" w:type="dxa"/>
            <w:vAlign w:val="center"/>
          </w:tcPr>
          <w:p w:rsidR="00E52A6B" w:rsidRPr="00475FC5" w:rsidRDefault="00E52A6B" w:rsidP="00D43A72">
            <w:pPr>
              <w:pStyle w:val="NormalWeb"/>
              <w:spacing w:before="100" w:after="100"/>
              <w:jc w:val="both"/>
              <w:rPr>
                <w:sz w:val="22"/>
                <w:szCs w:val="22"/>
              </w:rPr>
            </w:pPr>
            <w:r w:rsidRPr="00475FC5">
              <w:rPr>
                <w:sz w:val="22"/>
                <w:szCs w:val="22"/>
              </w:rPr>
              <w:t>Professor Hannah Smithson</w:t>
            </w:r>
          </w:p>
        </w:tc>
      </w:tr>
      <w:tr w:rsidR="00E52A6B" w:rsidRPr="00463394" w:rsidTr="00E52A6B">
        <w:tc>
          <w:tcPr>
            <w:tcW w:w="2465" w:type="dxa"/>
            <w:shd w:val="clear" w:color="auto" w:fill="D9D9D9"/>
            <w:vAlign w:val="center"/>
          </w:tcPr>
          <w:p w:rsidR="00E52A6B" w:rsidRPr="00463394" w:rsidRDefault="00E52A6B" w:rsidP="00D43A72">
            <w:pPr>
              <w:pStyle w:val="Tabletext"/>
              <w:rPr>
                <w:rFonts w:cs="Arial"/>
                <w:szCs w:val="22"/>
              </w:rPr>
            </w:pPr>
            <w:r w:rsidRPr="00463394">
              <w:rPr>
                <w:rFonts w:cs="Arial"/>
                <w:szCs w:val="22"/>
              </w:rPr>
              <w:t xml:space="preserve">Funding partner </w:t>
            </w:r>
          </w:p>
        </w:tc>
        <w:tc>
          <w:tcPr>
            <w:tcW w:w="6857" w:type="dxa"/>
            <w:vAlign w:val="center"/>
          </w:tcPr>
          <w:p w:rsidR="00E52A6B" w:rsidRPr="00463394" w:rsidRDefault="00E52A6B" w:rsidP="00D43A72">
            <w:pPr>
              <w:pStyle w:val="NormalWeb"/>
              <w:spacing w:before="100" w:after="100"/>
              <w:jc w:val="both"/>
              <w:rPr>
                <w:sz w:val="22"/>
                <w:szCs w:val="22"/>
              </w:rPr>
            </w:pPr>
            <w:r w:rsidRPr="00463394">
              <w:rPr>
                <w:sz w:val="22"/>
                <w:szCs w:val="22"/>
              </w:rPr>
              <w:t>EC</w:t>
            </w:r>
          </w:p>
        </w:tc>
      </w:tr>
    </w:tbl>
    <w:p w:rsidR="00E52A6B" w:rsidRPr="00463394" w:rsidRDefault="00E52A6B" w:rsidP="00E52A6B">
      <w:pPr>
        <w:rPr>
          <w:rFonts w:cs="Arial"/>
          <w:szCs w:val="22"/>
          <w:lang w:eastAsia="en-US"/>
        </w:rPr>
      </w:pPr>
    </w:p>
    <w:p w:rsidR="00E52A6B" w:rsidRPr="00463394" w:rsidRDefault="00E52A6B" w:rsidP="008B74E8">
      <w:pPr>
        <w:pStyle w:val="Heading3"/>
        <w:spacing w:before="160" w:after="160"/>
        <w:rPr>
          <w:sz w:val="22"/>
          <w:szCs w:val="22"/>
        </w:rPr>
      </w:pPr>
      <w:r w:rsidRPr="00463394">
        <w:rPr>
          <w:sz w:val="22"/>
          <w:szCs w:val="22"/>
        </w:rPr>
        <w:t>Overview of the role, Initial trai</w:t>
      </w:r>
      <w:r w:rsidRPr="003744A1">
        <w:rPr>
          <w:sz w:val="22"/>
          <w:szCs w:val="22"/>
        </w:rPr>
        <w:t>ning activities and secondment periods</w:t>
      </w:r>
    </w:p>
    <w:p w:rsidR="00E52A6B" w:rsidRPr="00463394" w:rsidRDefault="00E52A6B" w:rsidP="00E52A6B">
      <w:pPr>
        <w:spacing w:after="120"/>
        <w:rPr>
          <w:rFonts w:cs="Arial"/>
          <w:szCs w:val="22"/>
        </w:rPr>
      </w:pPr>
      <w:r w:rsidRPr="00463394">
        <w:rPr>
          <w:rFonts w:cs="Arial"/>
          <w:szCs w:val="22"/>
        </w:rPr>
        <w:t xml:space="preserve">The fellow will be considered to be both a registered student of the University being enrolled for comprehensive DPhil training </w:t>
      </w:r>
      <w:r>
        <w:rPr>
          <w:rFonts w:cs="Arial"/>
          <w:szCs w:val="22"/>
        </w:rPr>
        <w:t>in Experimental Psychology</w:t>
      </w:r>
      <w:r w:rsidRPr="00463394">
        <w:rPr>
          <w:rFonts w:cs="Arial"/>
          <w:szCs w:val="22"/>
        </w:rPr>
        <w:t xml:space="preserve"> and also an employee.</w:t>
      </w:r>
    </w:p>
    <w:p w:rsidR="00E52A6B" w:rsidRPr="00463394" w:rsidRDefault="00E52A6B" w:rsidP="00E52A6B">
      <w:pPr>
        <w:spacing w:after="120"/>
        <w:rPr>
          <w:rFonts w:cs="Arial"/>
          <w:i/>
          <w:szCs w:val="22"/>
        </w:rPr>
      </w:pPr>
      <w:r w:rsidRPr="00463394">
        <w:rPr>
          <w:rFonts w:cs="Arial"/>
          <w:i/>
          <w:szCs w:val="22"/>
        </w:rPr>
        <w:t>Alongside research work, the department provides training in teaching skills, and there are opportunities to take part in teaching activities in the department, such as undergraduate classes and laboratory demonstrating, and tutorial teaching in colleges. However, please note that under the terms of the EC grant Marie Curie students</w:t>
      </w:r>
      <w:r w:rsidRPr="00463394">
        <w:rPr>
          <w:rFonts w:cs="Arial"/>
          <w:b/>
          <w:i/>
          <w:iCs/>
          <w:szCs w:val="22"/>
        </w:rPr>
        <w:t xml:space="preserve"> </w:t>
      </w:r>
      <w:r w:rsidRPr="00463394">
        <w:rPr>
          <w:rFonts w:cs="Arial"/>
          <w:i/>
          <w:szCs w:val="22"/>
        </w:rPr>
        <w:t>may</w:t>
      </w:r>
      <w:r w:rsidRPr="00463394">
        <w:rPr>
          <w:rFonts w:cs="Arial"/>
          <w:b/>
          <w:i/>
          <w:iCs/>
          <w:szCs w:val="22"/>
        </w:rPr>
        <w:t xml:space="preserve"> not </w:t>
      </w:r>
      <w:r w:rsidRPr="00463394">
        <w:rPr>
          <w:rFonts w:cs="Arial"/>
          <w:i/>
          <w:szCs w:val="22"/>
        </w:rPr>
        <w:t>be paid for any teaching or other activities carried out over and above the full-time requirements of the post.</w:t>
      </w:r>
    </w:p>
    <w:p w:rsidR="00E52A6B" w:rsidRDefault="00E52A6B" w:rsidP="00E52A6B">
      <w:pPr>
        <w:rPr>
          <w:rFonts w:cs="Arial"/>
          <w:lang w:val="en-US"/>
        </w:rPr>
      </w:pPr>
      <w:r w:rsidRPr="00475FC5">
        <w:rPr>
          <w:rFonts w:cs="Arial"/>
          <w:lang w:val="en-US"/>
        </w:rPr>
        <w:t xml:space="preserve">The Early Stage Researcher (ESR) position is part of the RealVision consortium, which comprises 11 academic and industrial partners from four European countries – Denmark, France, Germany and the UK. This EU-funded Innovative Training Network (ITN) provides a rich training environment for early stage researchers, with regular meetings, workshops and training events across the network. In Oxford, you will enroll for a DPhil and will join a dynamic </w:t>
      </w:r>
      <w:r w:rsidRPr="00475FC5">
        <w:rPr>
          <w:rFonts w:cs="Arial"/>
          <w:lang w:val="en-US"/>
        </w:rPr>
        <w:lastRenderedPageBreak/>
        <w:t>and motivated group of around 12 graduate students and post-doctoral researchers in the Oxford Perception Lab, headed by Hannah Smithson. The primary focus will be to design and run psychophysical tests of colour perception, with specific emphasis on understanding inter- and intra-personal differences. Calibrated stimuli will be presented via bespoke optical setups in Oxford or on state-of-the-art displays in collaboration with our industrial partners BARCO</w:t>
      </w:r>
      <w:r w:rsidRPr="00475FC5">
        <w:rPr>
          <w:rFonts w:cs="Arial"/>
          <w:vertAlign w:val="superscript"/>
          <w:lang w:val="en-US"/>
        </w:rPr>
        <w:t>TM</w:t>
      </w:r>
      <w:r w:rsidRPr="00475FC5">
        <w:rPr>
          <w:rFonts w:cs="Arial"/>
          <w:lang w:val="en-US"/>
        </w:rPr>
        <w:t xml:space="preserve">. </w:t>
      </w:r>
    </w:p>
    <w:p w:rsidR="00E52A6B" w:rsidRDefault="00E52A6B" w:rsidP="00E52A6B">
      <w:pPr>
        <w:rPr>
          <w:rFonts w:cs="Arial"/>
          <w:lang w:val="en-US"/>
        </w:rPr>
      </w:pPr>
    </w:p>
    <w:p w:rsidR="00E52A6B" w:rsidRPr="00475FC5" w:rsidRDefault="00E52A6B" w:rsidP="00E52A6B">
      <w:pPr>
        <w:rPr>
          <w:rFonts w:cs="Arial"/>
          <w:lang w:val="en"/>
        </w:rPr>
      </w:pPr>
      <w:r w:rsidRPr="00475FC5">
        <w:rPr>
          <w:rFonts w:cs="Arial"/>
          <w:b/>
          <w:lang w:val="en"/>
        </w:rPr>
        <w:t>Project title</w:t>
      </w:r>
      <w:r w:rsidRPr="00475FC5">
        <w:rPr>
          <w:rFonts w:cs="Arial"/>
          <w:lang w:val="en"/>
        </w:rPr>
        <w:t>: Adding a splash of colour: Exploiting inter- and intra-personal differences in colour vision to maximise colour experience from displays.</w:t>
      </w:r>
    </w:p>
    <w:p w:rsidR="00E52A6B" w:rsidRPr="00475FC5" w:rsidRDefault="00E52A6B" w:rsidP="00E52A6B">
      <w:pPr>
        <w:rPr>
          <w:rFonts w:cs="Arial"/>
          <w:lang w:val="en"/>
        </w:rPr>
      </w:pPr>
    </w:p>
    <w:p w:rsidR="00E52A6B" w:rsidRPr="00761D65" w:rsidRDefault="00E52A6B" w:rsidP="00E52A6B">
      <w:pPr>
        <w:rPr>
          <w:rFonts w:cs="Arial"/>
        </w:rPr>
      </w:pPr>
      <w:r w:rsidRPr="00475FC5">
        <w:rPr>
          <w:rFonts w:cs="Arial"/>
          <w:lang w:val="en"/>
        </w:rPr>
        <w:t>Human colour vision is based on the outputs of spectrally-selective photoreceptors in the retina. However, differences in pre-receptoral filtering within the eye and in the spectral sensitivities of the receptors can give rise to individual variation in colour vision. With new display technologies that use spectrally-narrowband light sources, these individual variations are particularly evident. This research project will generate models of differences in colour perception with narrow-band and broad-band light, informed by retinal imaging and psychophysical testing with bespoke displays.</w:t>
      </w:r>
      <w:r w:rsidRPr="00761D65">
        <w:rPr>
          <w:rFonts w:cs="Arial"/>
          <w:lang w:val="en"/>
        </w:rPr>
        <w:t xml:space="preserve"> </w:t>
      </w:r>
    </w:p>
    <w:p w:rsidR="00E52A6B" w:rsidRPr="00761D65" w:rsidRDefault="00E52A6B" w:rsidP="00E52A6B">
      <w:pPr>
        <w:rPr>
          <w:rFonts w:cs="Arial"/>
          <w:lang w:val="en-US"/>
        </w:rPr>
      </w:pPr>
    </w:p>
    <w:p w:rsidR="00E52A6B" w:rsidRPr="003744A1" w:rsidRDefault="00E52A6B" w:rsidP="008B74E8">
      <w:pPr>
        <w:spacing w:after="160"/>
        <w:rPr>
          <w:b/>
          <w:szCs w:val="22"/>
        </w:rPr>
      </w:pPr>
      <w:r w:rsidRPr="003744A1">
        <w:rPr>
          <w:b/>
          <w:szCs w:val="22"/>
        </w:rPr>
        <w:t>Planned Secondments:</w:t>
      </w:r>
    </w:p>
    <w:p w:rsidR="008B74E8" w:rsidRDefault="00E52A6B" w:rsidP="008B74E8">
      <w:pPr>
        <w:rPr>
          <w:szCs w:val="22"/>
        </w:rPr>
      </w:pPr>
      <w:r w:rsidRPr="003744A1">
        <w:rPr>
          <w:b/>
          <w:szCs w:val="22"/>
        </w:rPr>
        <w:t xml:space="preserve">Host: </w:t>
      </w:r>
      <w:r w:rsidRPr="003744A1">
        <w:rPr>
          <w:szCs w:val="22"/>
        </w:rPr>
        <w:t>DELTA SenseLab,</w:t>
      </w:r>
      <w:r w:rsidRPr="003744A1">
        <w:rPr>
          <w:b/>
          <w:szCs w:val="22"/>
        </w:rPr>
        <w:t xml:space="preserve"> </w:t>
      </w:r>
      <w:r w:rsidRPr="003744A1">
        <w:rPr>
          <w:szCs w:val="22"/>
        </w:rPr>
        <w:t>FORCE Technology, Denmark</w:t>
      </w:r>
      <w:r w:rsidR="008B74E8">
        <w:rPr>
          <w:szCs w:val="22"/>
        </w:rPr>
        <w:t xml:space="preserve"> </w:t>
      </w:r>
    </w:p>
    <w:p w:rsidR="008B74E8" w:rsidRDefault="00E52A6B" w:rsidP="008B74E8">
      <w:pPr>
        <w:spacing w:after="80"/>
        <w:rPr>
          <w:szCs w:val="22"/>
        </w:rPr>
      </w:pPr>
      <w:r w:rsidRPr="003744A1">
        <w:rPr>
          <w:b/>
          <w:szCs w:val="22"/>
        </w:rPr>
        <w:t>Timing:</w:t>
      </w:r>
      <w:r w:rsidRPr="003744A1">
        <w:rPr>
          <w:szCs w:val="22"/>
        </w:rPr>
        <w:t xml:space="preserve"> Month 25   </w:t>
      </w:r>
      <w:r w:rsidRPr="003744A1">
        <w:rPr>
          <w:b/>
          <w:szCs w:val="22"/>
        </w:rPr>
        <w:t xml:space="preserve">Length: </w:t>
      </w:r>
      <w:r w:rsidR="008B74E8">
        <w:rPr>
          <w:szCs w:val="22"/>
        </w:rPr>
        <w:t>3 months</w:t>
      </w:r>
    </w:p>
    <w:p w:rsidR="00E52A6B" w:rsidRPr="003744A1" w:rsidRDefault="00E52A6B" w:rsidP="008B74E8">
      <w:pPr>
        <w:jc w:val="left"/>
        <w:rPr>
          <w:szCs w:val="22"/>
        </w:rPr>
      </w:pPr>
      <w:r w:rsidRPr="003744A1">
        <w:rPr>
          <w:szCs w:val="22"/>
        </w:rPr>
        <w:t>Scientific and Training objectives:</w:t>
      </w:r>
    </w:p>
    <w:p w:rsidR="00E52A6B" w:rsidRPr="003744A1" w:rsidRDefault="00E52A6B" w:rsidP="00E52A6B">
      <w:pPr>
        <w:pStyle w:val="ListParagraph"/>
        <w:numPr>
          <w:ilvl w:val="0"/>
          <w:numId w:val="15"/>
        </w:numPr>
        <w:jc w:val="left"/>
        <w:rPr>
          <w:szCs w:val="22"/>
        </w:rPr>
      </w:pPr>
      <w:r w:rsidRPr="003744A1">
        <w:rPr>
          <w:szCs w:val="22"/>
        </w:rPr>
        <w:t>FORCE is a research centre with industrial focus. Their contribution to the network is in creating a set of quality metrics for new display technologies. The objective of the secondment is to incorporate models of individual-variation into subjective testing procedures.</w:t>
      </w:r>
    </w:p>
    <w:p w:rsidR="00E52A6B" w:rsidRPr="003744A1" w:rsidRDefault="00E52A6B" w:rsidP="00E52A6B">
      <w:pPr>
        <w:jc w:val="left"/>
        <w:rPr>
          <w:szCs w:val="22"/>
        </w:rPr>
      </w:pPr>
    </w:p>
    <w:p w:rsidR="00E52A6B" w:rsidRPr="003744A1" w:rsidRDefault="00E52A6B" w:rsidP="008B74E8">
      <w:pPr>
        <w:spacing w:after="80"/>
        <w:jc w:val="left"/>
        <w:rPr>
          <w:szCs w:val="22"/>
        </w:rPr>
      </w:pPr>
      <w:r w:rsidRPr="003744A1">
        <w:rPr>
          <w:b/>
          <w:szCs w:val="22"/>
        </w:rPr>
        <w:t xml:space="preserve">Host: </w:t>
      </w:r>
      <w:r w:rsidRPr="003744A1">
        <w:rPr>
          <w:szCs w:val="22"/>
        </w:rPr>
        <w:t>Barco Projection,</w:t>
      </w:r>
      <w:r w:rsidRPr="003744A1">
        <w:rPr>
          <w:b/>
          <w:szCs w:val="22"/>
        </w:rPr>
        <w:t xml:space="preserve"> </w:t>
      </w:r>
      <w:r w:rsidRPr="003744A1">
        <w:rPr>
          <w:szCs w:val="22"/>
        </w:rPr>
        <w:t>BARCO</w:t>
      </w:r>
      <w:r w:rsidRPr="003744A1">
        <w:rPr>
          <w:szCs w:val="22"/>
          <w:vertAlign w:val="superscript"/>
        </w:rPr>
        <w:t>TM</w:t>
      </w:r>
      <w:r w:rsidRPr="003744A1">
        <w:rPr>
          <w:szCs w:val="22"/>
        </w:rPr>
        <w:t>, Belgium</w:t>
      </w:r>
      <w:r w:rsidRPr="003744A1">
        <w:rPr>
          <w:szCs w:val="22"/>
        </w:rPr>
        <w:br/>
      </w:r>
      <w:r w:rsidRPr="003744A1">
        <w:rPr>
          <w:b/>
          <w:szCs w:val="22"/>
        </w:rPr>
        <w:t xml:space="preserve">Timing: </w:t>
      </w:r>
      <w:r w:rsidRPr="003744A1">
        <w:rPr>
          <w:szCs w:val="22"/>
        </w:rPr>
        <w:t xml:space="preserve">Month 30   </w:t>
      </w:r>
      <w:r w:rsidRPr="003744A1">
        <w:rPr>
          <w:b/>
          <w:szCs w:val="22"/>
        </w:rPr>
        <w:t xml:space="preserve">Length: </w:t>
      </w:r>
      <w:r w:rsidRPr="003744A1">
        <w:rPr>
          <w:szCs w:val="22"/>
        </w:rPr>
        <w:t>3 months</w:t>
      </w:r>
    </w:p>
    <w:p w:rsidR="00E52A6B" w:rsidRPr="003744A1" w:rsidRDefault="00E52A6B" w:rsidP="00E52A6B">
      <w:pPr>
        <w:jc w:val="left"/>
        <w:rPr>
          <w:szCs w:val="22"/>
        </w:rPr>
      </w:pPr>
      <w:r w:rsidRPr="003744A1">
        <w:rPr>
          <w:szCs w:val="22"/>
        </w:rPr>
        <w:t>Scientific and Training objectives:</w:t>
      </w:r>
    </w:p>
    <w:p w:rsidR="00E52A6B" w:rsidRPr="003744A1" w:rsidRDefault="00E52A6B" w:rsidP="00E52A6B">
      <w:pPr>
        <w:pStyle w:val="ListParagraph"/>
        <w:numPr>
          <w:ilvl w:val="0"/>
          <w:numId w:val="15"/>
        </w:numPr>
        <w:jc w:val="left"/>
        <w:rPr>
          <w:szCs w:val="22"/>
        </w:rPr>
      </w:pPr>
      <w:r w:rsidRPr="003744A1">
        <w:rPr>
          <w:szCs w:val="22"/>
        </w:rPr>
        <w:t>BARCO is a global technology company. They will provide access to commercial (production) and custom-built (prototype) display and projection systems. The objective of the secondment is to develop and test algorithms, targeted to display systems that are close-to-market, with a focus on algorithms.</w:t>
      </w:r>
    </w:p>
    <w:p w:rsidR="00E52A6B" w:rsidRPr="00463394" w:rsidRDefault="00E52A6B" w:rsidP="00E52A6B">
      <w:pPr>
        <w:rPr>
          <w:rFonts w:cs="Arial"/>
          <w:b/>
          <w:szCs w:val="22"/>
        </w:rPr>
      </w:pPr>
    </w:p>
    <w:p w:rsidR="00E52A6B" w:rsidRPr="00463394" w:rsidRDefault="00E52A6B" w:rsidP="00E52A6B">
      <w:pPr>
        <w:pStyle w:val="Heading3"/>
        <w:spacing w:after="120"/>
        <w:rPr>
          <w:sz w:val="22"/>
          <w:szCs w:val="22"/>
        </w:rPr>
      </w:pPr>
      <w:r w:rsidRPr="00463394">
        <w:rPr>
          <w:sz w:val="22"/>
          <w:szCs w:val="22"/>
        </w:rPr>
        <w:t xml:space="preserve">Responsibilities/duties </w:t>
      </w:r>
    </w:p>
    <w:p w:rsidR="00E52A6B" w:rsidRPr="00475FC5" w:rsidRDefault="00E52A6B" w:rsidP="00E52A6B">
      <w:pPr>
        <w:pStyle w:val="ListParagraph"/>
        <w:numPr>
          <w:ilvl w:val="0"/>
          <w:numId w:val="11"/>
        </w:numPr>
        <w:tabs>
          <w:tab w:val="clear" w:pos="1152"/>
          <w:tab w:val="clear" w:pos="1728"/>
          <w:tab w:val="clear" w:pos="5760"/>
          <w:tab w:val="left" w:pos="180"/>
        </w:tabs>
        <w:suppressAutoHyphens w:val="0"/>
        <w:spacing w:line="240" w:lineRule="auto"/>
        <w:jc w:val="left"/>
        <w:rPr>
          <w:rFonts w:cs="Arial"/>
          <w:szCs w:val="22"/>
        </w:rPr>
      </w:pPr>
      <w:r w:rsidRPr="00475FC5">
        <w:rPr>
          <w:rFonts w:cs="Arial"/>
          <w:szCs w:val="22"/>
          <w:lang w:val="en-US"/>
        </w:rPr>
        <w:t>Designing and running psychophysical experiments in colour v</w:t>
      </w:r>
      <w:r>
        <w:rPr>
          <w:rFonts w:cs="Arial"/>
          <w:szCs w:val="22"/>
          <w:lang w:val="en-US"/>
        </w:rPr>
        <w:t xml:space="preserve">ision, specifically targeted to </w:t>
      </w:r>
      <w:r w:rsidRPr="00475FC5">
        <w:rPr>
          <w:rFonts w:cs="Arial"/>
          <w:szCs w:val="22"/>
          <w:lang w:val="en-US"/>
        </w:rPr>
        <w:t>display technologies designed to achieve hyperrealistic colour experiences.</w:t>
      </w:r>
    </w:p>
    <w:p w:rsidR="00E52A6B" w:rsidRPr="00475FC5" w:rsidRDefault="00E52A6B" w:rsidP="00E52A6B">
      <w:pPr>
        <w:pStyle w:val="ListParagraph"/>
        <w:numPr>
          <w:ilvl w:val="0"/>
          <w:numId w:val="11"/>
        </w:numPr>
        <w:tabs>
          <w:tab w:val="clear" w:pos="1152"/>
          <w:tab w:val="clear" w:pos="1728"/>
          <w:tab w:val="clear" w:pos="5760"/>
          <w:tab w:val="left" w:pos="180"/>
        </w:tabs>
        <w:suppressAutoHyphens w:val="0"/>
        <w:spacing w:line="240" w:lineRule="auto"/>
        <w:jc w:val="left"/>
        <w:rPr>
          <w:rFonts w:cs="Arial"/>
          <w:szCs w:val="22"/>
        </w:rPr>
      </w:pPr>
      <w:r w:rsidRPr="00475FC5">
        <w:rPr>
          <w:rFonts w:cs="Arial"/>
          <w:szCs w:val="22"/>
          <w:lang w:val="en-US"/>
        </w:rPr>
        <w:t>Measuring and modelling individual differences in colour vision</w:t>
      </w:r>
    </w:p>
    <w:p w:rsidR="00E52A6B" w:rsidRPr="00475FC5" w:rsidRDefault="00E52A6B" w:rsidP="00E52A6B">
      <w:pPr>
        <w:pStyle w:val="ListParagraph"/>
        <w:numPr>
          <w:ilvl w:val="0"/>
          <w:numId w:val="11"/>
        </w:numPr>
        <w:tabs>
          <w:tab w:val="clear" w:pos="1152"/>
          <w:tab w:val="clear" w:pos="1728"/>
          <w:tab w:val="clear" w:pos="5760"/>
          <w:tab w:val="left" w:pos="180"/>
        </w:tabs>
        <w:suppressAutoHyphens w:val="0"/>
        <w:spacing w:line="240" w:lineRule="auto"/>
        <w:jc w:val="left"/>
        <w:rPr>
          <w:rFonts w:cs="Arial"/>
          <w:szCs w:val="22"/>
        </w:rPr>
      </w:pPr>
      <w:r w:rsidRPr="00475FC5">
        <w:rPr>
          <w:rFonts w:cs="Arial"/>
          <w:szCs w:val="22"/>
          <w:lang w:val="en-US"/>
        </w:rPr>
        <w:t xml:space="preserve">Modelling </w:t>
      </w:r>
      <w:r w:rsidRPr="00475FC5">
        <w:rPr>
          <w:rFonts w:cs="Arial"/>
          <w:szCs w:val="22"/>
          <w:lang w:val="en"/>
        </w:rPr>
        <w:t>differences in colour perception with different primary mixtures</w:t>
      </w:r>
      <w:r w:rsidRPr="00475FC5">
        <w:rPr>
          <w:rFonts w:cs="Arial"/>
          <w:szCs w:val="22"/>
          <w:lang w:val="en-US"/>
        </w:rPr>
        <w:t xml:space="preserve"> </w:t>
      </w:r>
    </w:p>
    <w:p w:rsidR="00E52A6B" w:rsidRPr="00475FC5" w:rsidRDefault="00E52A6B" w:rsidP="00E52A6B">
      <w:pPr>
        <w:pStyle w:val="ListParagraph"/>
        <w:numPr>
          <w:ilvl w:val="0"/>
          <w:numId w:val="11"/>
        </w:numPr>
        <w:tabs>
          <w:tab w:val="clear" w:pos="1152"/>
          <w:tab w:val="clear" w:pos="1728"/>
          <w:tab w:val="clear" w:pos="5760"/>
          <w:tab w:val="left" w:pos="180"/>
        </w:tabs>
        <w:suppressAutoHyphens w:val="0"/>
        <w:spacing w:line="240" w:lineRule="auto"/>
        <w:jc w:val="left"/>
        <w:rPr>
          <w:rFonts w:cs="Arial"/>
          <w:szCs w:val="22"/>
        </w:rPr>
      </w:pPr>
      <w:r w:rsidRPr="00475FC5">
        <w:rPr>
          <w:rFonts w:cs="Arial"/>
          <w:szCs w:val="22"/>
          <w:lang w:val="en-US"/>
        </w:rPr>
        <w:t>Publication of scientific papers</w:t>
      </w:r>
    </w:p>
    <w:p w:rsidR="00E52A6B" w:rsidRPr="00475FC5" w:rsidRDefault="00E52A6B" w:rsidP="00E52A6B">
      <w:pPr>
        <w:pStyle w:val="ListParagraph"/>
        <w:numPr>
          <w:ilvl w:val="0"/>
          <w:numId w:val="11"/>
        </w:numPr>
        <w:tabs>
          <w:tab w:val="clear" w:pos="1152"/>
          <w:tab w:val="clear" w:pos="1728"/>
          <w:tab w:val="clear" w:pos="5760"/>
          <w:tab w:val="left" w:pos="180"/>
        </w:tabs>
        <w:suppressAutoHyphens w:val="0"/>
        <w:spacing w:line="240" w:lineRule="auto"/>
        <w:jc w:val="left"/>
        <w:rPr>
          <w:rFonts w:cs="Arial"/>
          <w:szCs w:val="22"/>
        </w:rPr>
      </w:pPr>
      <w:r w:rsidRPr="00475FC5">
        <w:rPr>
          <w:rFonts w:cs="Arial"/>
          <w:szCs w:val="22"/>
          <w:lang w:val="en-US"/>
        </w:rPr>
        <w:t>Collaboration with our industrial partners on questions that have immediate commercial relevance in their sector</w:t>
      </w:r>
    </w:p>
    <w:p w:rsidR="00E52A6B" w:rsidRPr="00475FC5" w:rsidRDefault="00E52A6B" w:rsidP="00E52A6B">
      <w:pPr>
        <w:pStyle w:val="ListParagraph"/>
        <w:tabs>
          <w:tab w:val="left" w:pos="180"/>
        </w:tabs>
        <w:spacing w:line="240" w:lineRule="auto"/>
        <w:ind w:left="360"/>
        <w:rPr>
          <w:rFonts w:cs="Arial"/>
          <w:szCs w:val="22"/>
        </w:rPr>
      </w:pPr>
    </w:p>
    <w:p w:rsidR="00E52A6B" w:rsidRPr="00475FC5" w:rsidRDefault="00E52A6B" w:rsidP="00E52A6B">
      <w:pPr>
        <w:tabs>
          <w:tab w:val="left" w:pos="180"/>
        </w:tabs>
        <w:spacing w:after="120"/>
        <w:rPr>
          <w:rFonts w:cs="Arial"/>
          <w:b/>
          <w:szCs w:val="22"/>
        </w:rPr>
      </w:pPr>
      <w:r w:rsidRPr="00475FC5">
        <w:rPr>
          <w:rFonts w:cs="Arial"/>
          <w:b/>
          <w:szCs w:val="22"/>
        </w:rPr>
        <w:t xml:space="preserve">Communication </w:t>
      </w:r>
    </w:p>
    <w:p w:rsidR="00E52A6B" w:rsidRPr="008B74E8" w:rsidRDefault="00E52A6B" w:rsidP="008B74E8">
      <w:pPr>
        <w:pStyle w:val="ListParagraph"/>
        <w:numPr>
          <w:ilvl w:val="0"/>
          <w:numId w:val="11"/>
        </w:numPr>
        <w:tabs>
          <w:tab w:val="left" w:pos="180"/>
        </w:tabs>
        <w:suppressAutoHyphens w:val="0"/>
        <w:jc w:val="left"/>
        <w:rPr>
          <w:rFonts w:cs="Arial"/>
          <w:szCs w:val="22"/>
        </w:rPr>
      </w:pPr>
      <w:r w:rsidRPr="00475FC5">
        <w:rPr>
          <w:rFonts w:cs="Arial"/>
          <w:szCs w:val="22"/>
        </w:rPr>
        <w:t xml:space="preserve">The successful candidate will have excellent written and oral communication skills and will join a diverse and collaborative research group. </w:t>
      </w:r>
    </w:p>
    <w:p w:rsidR="00E52A6B" w:rsidRPr="00475FC5" w:rsidRDefault="00E52A6B" w:rsidP="00E52A6B">
      <w:pPr>
        <w:spacing w:before="240" w:after="120"/>
        <w:outlineLvl w:val="0"/>
        <w:rPr>
          <w:rFonts w:cs="Arial"/>
          <w:b/>
          <w:szCs w:val="22"/>
        </w:rPr>
      </w:pPr>
      <w:r w:rsidRPr="00475FC5">
        <w:rPr>
          <w:rFonts w:cs="Arial"/>
          <w:b/>
          <w:szCs w:val="22"/>
        </w:rPr>
        <w:t>Other General Responsibilities</w:t>
      </w:r>
    </w:p>
    <w:p w:rsidR="00E52A6B" w:rsidRPr="00475FC5" w:rsidRDefault="00E52A6B" w:rsidP="00E52A6B">
      <w:pPr>
        <w:pStyle w:val="ListParagraph"/>
        <w:numPr>
          <w:ilvl w:val="0"/>
          <w:numId w:val="11"/>
        </w:numPr>
        <w:tabs>
          <w:tab w:val="left" w:pos="180"/>
        </w:tabs>
        <w:suppressAutoHyphens w:val="0"/>
        <w:jc w:val="left"/>
        <w:rPr>
          <w:rFonts w:cs="Arial"/>
          <w:szCs w:val="22"/>
        </w:rPr>
      </w:pPr>
      <w:r w:rsidRPr="00475FC5">
        <w:rPr>
          <w:rFonts w:cs="Arial"/>
          <w:szCs w:val="22"/>
        </w:rPr>
        <w:t xml:space="preserve">The successful candidate will enrol on the DPhil programme in Experimental Psychology at the University of Oxford. The department provides excellent support for graduate students, </w:t>
      </w:r>
      <w:r w:rsidRPr="00475FC5">
        <w:rPr>
          <w:rFonts w:cs="Arial"/>
          <w:szCs w:val="22"/>
        </w:rPr>
        <w:lastRenderedPageBreak/>
        <w:t>and the candidate will be expected to engage with departmental activities, such as graduate seminars and training.</w:t>
      </w:r>
    </w:p>
    <w:p w:rsidR="00E52A6B" w:rsidRPr="00475FC5" w:rsidRDefault="00E52A6B" w:rsidP="00E52A6B">
      <w:pPr>
        <w:pStyle w:val="ListParagraph"/>
        <w:numPr>
          <w:ilvl w:val="0"/>
          <w:numId w:val="11"/>
        </w:numPr>
        <w:tabs>
          <w:tab w:val="clear" w:pos="1152"/>
          <w:tab w:val="clear" w:pos="1728"/>
          <w:tab w:val="clear" w:pos="5760"/>
        </w:tabs>
        <w:suppressAutoHyphens w:val="0"/>
        <w:spacing w:after="200" w:line="276" w:lineRule="auto"/>
        <w:jc w:val="left"/>
        <w:rPr>
          <w:rFonts w:cs="Arial"/>
          <w:szCs w:val="22"/>
        </w:rPr>
      </w:pPr>
      <w:r w:rsidRPr="00475FC5">
        <w:rPr>
          <w:rFonts w:cs="Arial"/>
          <w:szCs w:val="22"/>
        </w:rPr>
        <w:t>Two secondments to project partners within the European Training Network</w:t>
      </w:r>
    </w:p>
    <w:p w:rsidR="00E52A6B" w:rsidRPr="008B74E8" w:rsidRDefault="00E52A6B" w:rsidP="008B74E8">
      <w:pPr>
        <w:pStyle w:val="ListParagraph"/>
        <w:numPr>
          <w:ilvl w:val="0"/>
          <w:numId w:val="11"/>
        </w:numPr>
        <w:tabs>
          <w:tab w:val="clear" w:pos="1152"/>
          <w:tab w:val="clear" w:pos="1728"/>
          <w:tab w:val="clear" w:pos="5760"/>
        </w:tabs>
        <w:suppressAutoHyphens w:val="0"/>
        <w:spacing w:after="200" w:line="276" w:lineRule="auto"/>
        <w:jc w:val="left"/>
        <w:rPr>
          <w:rFonts w:cs="Arial"/>
          <w:szCs w:val="22"/>
        </w:rPr>
      </w:pPr>
      <w:r w:rsidRPr="00475FC5">
        <w:rPr>
          <w:rFonts w:cs="Arial"/>
          <w:szCs w:val="22"/>
        </w:rPr>
        <w:t>Engagement with the training and networking events for RealVision ESRs</w:t>
      </w:r>
    </w:p>
    <w:p w:rsidR="00E52A6B" w:rsidRPr="00463394" w:rsidRDefault="00E52A6B" w:rsidP="008B74E8">
      <w:pPr>
        <w:pStyle w:val="Heading2"/>
        <w:rPr>
          <w:b w:val="0"/>
          <w:bCs w:val="0"/>
          <w:sz w:val="22"/>
          <w:szCs w:val="22"/>
        </w:rPr>
      </w:pPr>
      <w:r w:rsidRPr="00463394">
        <w:rPr>
          <w:sz w:val="22"/>
          <w:szCs w:val="22"/>
        </w:rPr>
        <w:t>Selection criteria</w:t>
      </w:r>
      <w:r w:rsidRPr="00463394">
        <w:rPr>
          <w:b w:val="0"/>
          <w:bCs w:val="0"/>
          <w:sz w:val="22"/>
          <w:szCs w:val="22"/>
        </w:rPr>
        <w:t xml:space="preserve"> </w:t>
      </w:r>
    </w:p>
    <w:p w:rsidR="00E52A6B" w:rsidRPr="00463394" w:rsidRDefault="00E52A6B" w:rsidP="00E52A6B">
      <w:pPr>
        <w:spacing w:after="120"/>
        <w:rPr>
          <w:rFonts w:cs="Arial"/>
          <w:b/>
          <w:szCs w:val="22"/>
        </w:rPr>
      </w:pPr>
      <w:r w:rsidRPr="00463394">
        <w:rPr>
          <w:rFonts w:cs="Arial"/>
          <w:b/>
          <w:szCs w:val="22"/>
        </w:rPr>
        <w:t>Essential</w:t>
      </w:r>
    </w:p>
    <w:p w:rsidR="00E52A6B" w:rsidRPr="00463394" w:rsidRDefault="007B299D" w:rsidP="008B74E8">
      <w:pPr>
        <w:spacing w:after="160"/>
        <w:rPr>
          <w:rFonts w:cs="Arial"/>
          <w:szCs w:val="22"/>
        </w:rPr>
      </w:pPr>
      <w:r>
        <w:rPr>
          <w:rFonts w:cs="Arial"/>
          <w:szCs w:val="22"/>
        </w:rPr>
        <w:t>To be eligible for this position,</w:t>
      </w:r>
      <w:r w:rsidR="00E52A6B" w:rsidRPr="00463394">
        <w:rPr>
          <w:rFonts w:cs="Arial"/>
          <w:szCs w:val="22"/>
        </w:rPr>
        <w:t xml:space="preserve"> candidates must also be accepted by the University of Oxford as a DPhil student and continue to be a registered student for the durat</w:t>
      </w:r>
      <w:r w:rsidR="0048577C">
        <w:rPr>
          <w:rFonts w:cs="Arial"/>
          <w:szCs w:val="22"/>
        </w:rPr>
        <w:t xml:space="preserve">ion of the employment contract.  </w:t>
      </w:r>
      <w:r w:rsidR="00E52A6B" w:rsidRPr="00463394">
        <w:rPr>
          <w:rFonts w:cs="Arial"/>
          <w:szCs w:val="22"/>
        </w:rPr>
        <w:t xml:space="preserve">Candidates will be assisted with the graduate admissions process. All graduate awards are subject to the Examination Regulations currently in force: see </w:t>
      </w:r>
      <w:hyperlink r:id="rId8" w:history="1">
        <w:r w:rsidR="00E52A6B" w:rsidRPr="00463394">
          <w:rPr>
            <w:rStyle w:val="Hyperlink"/>
            <w:rFonts w:cs="Arial"/>
            <w:szCs w:val="22"/>
          </w:rPr>
          <w:t>http://www.admin.ox.ac.uk/examregs/</w:t>
        </w:r>
      </w:hyperlink>
      <w:r w:rsidR="00E52A6B" w:rsidRPr="00463394">
        <w:rPr>
          <w:rFonts w:cs="Arial"/>
          <w:szCs w:val="22"/>
        </w:rPr>
        <w:t xml:space="preserve">.  </w:t>
      </w:r>
    </w:p>
    <w:p w:rsidR="00E52A6B" w:rsidRPr="00463394" w:rsidRDefault="00E52A6B" w:rsidP="00E52A6B">
      <w:pPr>
        <w:spacing w:after="120"/>
        <w:rPr>
          <w:rFonts w:cs="Arial"/>
          <w:szCs w:val="22"/>
        </w:rPr>
      </w:pPr>
      <w:r w:rsidRPr="00463394">
        <w:rPr>
          <w:rFonts w:cs="Arial"/>
          <w:szCs w:val="22"/>
        </w:rPr>
        <w:t>To be eligible for this position, at the time of the fellowship start date, you must not already be in possession of a PhD or have more than 4 years of full-time equivalent research experience as measured from the award date of your first degree.</w:t>
      </w:r>
    </w:p>
    <w:p w:rsidR="00E52A6B" w:rsidRPr="00463394" w:rsidRDefault="00E52A6B" w:rsidP="00E52A6B">
      <w:pPr>
        <w:spacing w:after="120"/>
        <w:rPr>
          <w:rFonts w:cs="Arial"/>
          <w:szCs w:val="22"/>
        </w:rPr>
      </w:pPr>
      <w:r w:rsidRPr="00463394">
        <w:rPr>
          <w:rFonts w:cs="Arial"/>
          <w:szCs w:val="22"/>
        </w:rPr>
        <w:t xml:space="preserve">Under the terms of the EC funding, which aims to promote mobility within the research community, to be eligible for the post you must </w:t>
      </w:r>
      <w:r w:rsidRPr="00463394">
        <w:rPr>
          <w:rFonts w:cs="Arial"/>
          <w:b/>
          <w:szCs w:val="22"/>
        </w:rPr>
        <w:t>not</w:t>
      </w:r>
      <w:r w:rsidRPr="00463394">
        <w:rPr>
          <w:rFonts w:cs="Arial"/>
          <w:szCs w:val="22"/>
        </w:rPr>
        <w:t xml:space="preserve"> have been resident in the UK for more than a total of 12 months in the past three years up to the fellowship start date</w:t>
      </w:r>
    </w:p>
    <w:p w:rsidR="00E52A6B" w:rsidRDefault="00E52A6B" w:rsidP="00E52A6B">
      <w:pPr>
        <w:tabs>
          <w:tab w:val="left" w:pos="2120"/>
        </w:tabs>
        <w:rPr>
          <w:rFonts w:cs="Arial"/>
          <w:szCs w:val="22"/>
        </w:rPr>
      </w:pPr>
      <w:r w:rsidRPr="00475FC5">
        <w:rPr>
          <w:rFonts w:cs="Arial"/>
          <w:szCs w:val="22"/>
        </w:rPr>
        <w:t>To be eligible for the DPhil applicants are normally expected to be predicted or to have achieved an upper second class (2:1) undergraduate degree or above (or equivalent international qualifications</w:t>
      </w:r>
      <w:r w:rsidRPr="00475FC5">
        <w:rPr>
          <w:rStyle w:val="apple-converted-space"/>
          <w:rFonts w:cs="Arial"/>
          <w:szCs w:val="22"/>
        </w:rPr>
        <w:t>) in psychology or related discipline.</w:t>
      </w:r>
      <w:r w:rsidRPr="00475FC5">
        <w:rPr>
          <w:rFonts w:cs="Arial"/>
          <w:szCs w:val="22"/>
        </w:rPr>
        <w:t> For applicants with a degree from the USA, the minimum GPA sought is 3.5.</w:t>
      </w:r>
    </w:p>
    <w:p w:rsidR="00E52A6B" w:rsidRDefault="00E52A6B" w:rsidP="00E52A6B">
      <w:pPr>
        <w:tabs>
          <w:tab w:val="left" w:pos="2120"/>
        </w:tabs>
        <w:rPr>
          <w:rFonts w:cs="Arial"/>
          <w:szCs w:val="22"/>
        </w:rPr>
      </w:pPr>
    </w:p>
    <w:p w:rsidR="008B74E8" w:rsidRDefault="00E52A6B" w:rsidP="00E52A6B">
      <w:pPr>
        <w:tabs>
          <w:tab w:val="left" w:pos="2120"/>
        </w:tabs>
        <w:rPr>
          <w:rFonts w:cs="Arial"/>
          <w:szCs w:val="22"/>
        </w:rPr>
      </w:pPr>
      <w:r w:rsidRPr="00EF11D5">
        <w:rPr>
          <w:rFonts w:cs="Arial"/>
          <w:szCs w:val="22"/>
        </w:rPr>
        <w:t>The applicant must also pass the English Language Requirement, for more inform</w:t>
      </w:r>
      <w:r w:rsidR="008B74E8">
        <w:rPr>
          <w:rFonts w:cs="Arial"/>
          <w:szCs w:val="22"/>
        </w:rPr>
        <w:t>ation please visit:</w:t>
      </w:r>
    </w:p>
    <w:p w:rsidR="00E52A6B" w:rsidRPr="00475FC5" w:rsidRDefault="00EC3B02" w:rsidP="008B74E8">
      <w:pPr>
        <w:tabs>
          <w:tab w:val="left" w:pos="2120"/>
        </w:tabs>
        <w:spacing w:after="200"/>
        <w:rPr>
          <w:rFonts w:cs="Arial"/>
          <w:szCs w:val="22"/>
        </w:rPr>
      </w:pPr>
      <w:hyperlink r:id="rId9" w:anchor="content-tab--3" w:history="1">
        <w:r w:rsidR="00E52A6B" w:rsidRPr="008176E5">
          <w:rPr>
            <w:rStyle w:val="Hyperlink"/>
            <w:rFonts w:cs="Arial"/>
            <w:szCs w:val="22"/>
          </w:rPr>
          <w:t>https://www.ox.ac.uk/admissions/graduate</w:t>
        </w:r>
        <w:r w:rsidR="008B74E8">
          <w:rPr>
            <w:rStyle w:val="Hyperlink"/>
            <w:rFonts w:cs="Arial"/>
            <w:szCs w:val="22"/>
          </w:rPr>
          <w:t>/applying-to-oxford/application</w:t>
        </w:r>
        <w:r w:rsidR="00E52A6B" w:rsidRPr="008176E5">
          <w:rPr>
            <w:rStyle w:val="Hyperlink"/>
            <w:rFonts w:cs="Arial"/>
            <w:szCs w:val="22"/>
          </w:rPr>
          <w:t>guide?wssl=1#content-tab--3</w:t>
        </w:r>
      </w:hyperlink>
      <w:r w:rsidR="00E52A6B">
        <w:rPr>
          <w:rFonts w:cs="Arial"/>
          <w:szCs w:val="22"/>
        </w:rPr>
        <w:t xml:space="preserve"> </w:t>
      </w:r>
    </w:p>
    <w:p w:rsidR="00E52A6B" w:rsidRPr="00475FC5" w:rsidRDefault="00E52A6B" w:rsidP="00E52A6B">
      <w:pPr>
        <w:tabs>
          <w:tab w:val="left" w:pos="2120"/>
        </w:tabs>
        <w:rPr>
          <w:rFonts w:cs="Arial"/>
          <w:szCs w:val="22"/>
        </w:rPr>
      </w:pPr>
      <w:r w:rsidRPr="00475FC5">
        <w:rPr>
          <w:rFonts w:cs="Arial"/>
          <w:szCs w:val="22"/>
        </w:rPr>
        <w:t xml:space="preserve"> </w:t>
      </w:r>
    </w:p>
    <w:p w:rsidR="008B74E8" w:rsidRPr="008B74E8" w:rsidRDefault="00E52A6B" w:rsidP="007B299D">
      <w:pPr>
        <w:tabs>
          <w:tab w:val="left" w:pos="2120"/>
        </w:tabs>
        <w:spacing w:after="120"/>
        <w:rPr>
          <w:rFonts w:cs="Arial"/>
          <w:b/>
          <w:szCs w:val="22"/>
        </w:rPr>
      </w:pPr>
      <w:r w:rsidRPr="0048577C">
        <w:rPr>
          <w:rFonts w:cs="Arial"/>
          <w:b/>
          <w:szCs w:val="22"/>
        </w:rPr>
        <w:t>The ap</w:t>
      </w:r>
      <w:r w:rsidR="008B74E8" w:rsidRPr="0048577C">
        <w:rPr>
          <w:rFonts w:cs="Arial"/>
          <w:b/>
          <w:szCs w:val="22"/>
        </w:rPr>
        <w:t>plication is a two-part process</w:t>
      </w:r>
    </w:p>
    <w:p w:rsidR="0048577C" w:rsidRDefault="0048577C" w:rsidP="0048577C">
      <w:pPr>
        <w:numPr>
          <w:ilvl w:val="0"/>
          <w:numId w:val="16"/>
        </w:numPr>
        <w:tabs>
          <w:tab w:val="left" w:pos="2120"/>
        </w:tabs>
        <w:rPr>
          <w:rFonts w:cs="Arial"/>
          <w:szCs w:val="22"/>
        </w:rPr>
      </w:pPr>
      <w:r>
        <w:rPr>
          <w:rFonts w:cs="Arial"/>
          <w:szCs w:val="22"/>
        </w:rPr>
        <w:t xml:space="preserve"> Studentship</w:t>
      </w:r>
    </w:p>
    <w:p w:rsidR="0048577C" w:rsidRDefault="0048577C" w:rsidP="0048577C">
      <w:pPr>
        <w:tabs>
          <w:tab w:val="left" w:pos="2120"/>
        </w:tabs>
        <w:rPr>
          <w:rFonts w:cs="Arial"/>
          <w:szCs w:val="22"/>
        </w:rPr>
      </w:pPr>
    </w:p>
    <w:p w:rsidR="00E52A6B" w:rsidRPr="00475FC5" w:rsidRDefault="00E52A6B" w:rsidP="0048577C">
      <w:pPr>
        <w:tabs>
          <w:tab w:val="left" w:pos="2120"/>
        </w:tabs>
        <w:rPr>
          <w:rFonts w:cs="Arial"/>
          <w:szCs w:val="22"/>
        </w:rPr>
      </w:pPr>
      <w:r w:rsidRPr="00475FC5">
        <w:rPr>
          <w:rFonts w:cs="Arial"/>
          <w:szCs w:val="22"/>
        </w:rPr>
        <w:t>To submit your application</w:t>
      </w:r>
      <w:r>
        <w:rPr>
          <w:rFonts w:cs="Arial"/>
          <w:szCs w:val="22"/>
        </w:rPr>
        <w:t xml:space="preserve"> for the </w:t>
      </w:r>
      <w:r w:rsidRPr="0048577C">
        <w:rPr>
          <w:rFonts w:cs="Arial"/>
          <w:b/>
          <w:szCs w:val="22"/>
        </w:rPr>
        <w:t>DPhil place</w:t>
      </w:r>
      <w:r>
        <w:rPr>
          <w:rFonts w:cs="Arial"/>
          <w:szCs w:val="22"/>
        </w:rPr>
        <w:t xml:space="preserve"> you must </w:t>
      </w:r>
      <w:r w:rsidRPr="00475FC5">
        <w:rPr>
          <w:rFonts w:cs="Arial"/>
          <w:szCs w:val="22"/>
        </w:rPr>
        <w:t xml:space="preserve">access the official online application for University of Oxford Graduate Programmes: </w:t>
      </w:r>
      <w:hyperlink r:id="rId10" w:history="1">
        <w:r w:rsidRPr="00475FC5">
          <w:rPr>
            <w:rStyle w:val="Hyperlink"/>
            <w:rFonts w:cs="Arial"/>
            <w:szCs w:val="22"/>
          </w:rPr>
          <w:t>http://www.ox.ac.uk/admissions/graduate/applying-to-oxford/application-guide</w:t>
        </w:r>
      </w:hyperlink>
      <w:r w:rsidRPr="00475FC5">
        <w:rPr>
          <w:rFonts w:cs="Arial"/>
          <w:szCs w:val="22"/>
        </w:rPr>
        <w:t xml:space="preserve"> </w:t>
      </w:r>
    </w:p>
    <w:p w:rsidR="00E52A6B" w:rsidRPr="00475FC5" w:rsidRDefault="00E52A6B" w:rsidP="00E52A6B">
      <w:pPr>
        <w:tabs>
          <w:tab w:val="left" w:pos="2120"/>
        </w:tabs>
        <w:rPr>
          <w:rFonts w:cs="Arial"/>
          <w:szCs w:val="22"/>
        </w:rPr>
      </w:pPr>
    </w:p>
    <w:p w:rsidR="00E52A6B" w:rsidRDefault="00E52A6B" w:rsidP="00E52A6B">
      <w:pPr>
        <w:tabs>
          <w:tab w:val="left" w:pos="2120"/>
        </w:tabs>
        <w:rPr>
          <w:rFonts w:cs="Arial"/>
          <w:szCs w:val="22"/>
        </w:rPr>
      </w:pPr>
      <w:r w:rsidRPr="00475FC5">
        <w:rPr>
          <w:rFonts w:cs="Arial"/>
          <w:szCs w:val="22"/>
        </w:rPr>
        <w:t xml:space="preserve">The DPhil place is associated with membership of Pembroke College. Details of the College and its facilities are available on the College website at </w:t>
      </w:r>
      <w:hyperlink r:id="rId11" w:history="1">
        <w:r w:rsidRPr="00475FC5">
          <w:rPr>
            <w:rStyle w:val="Hyperlink"/>
            <w:rFonts w:cs="Arial"/>
            <w:szCs w:val="22"/>
          </w:rPr>
          <w:t>http://www.pmb.ox.ac.uk/</w:t>
        </w:r>
      </w:hyperlink>
      <w:r w:rsidRPr="00475FC5">
        <w:rPr>
          <w:rFonts w:cs="Arial"/>
          <w:szCs w:val="22"/>
        </w:rPr>
        <w:t xml:space="preserve">. </w:t>
      </w:r>
    </w:p>
    <w:p w:rsidR="00E52A6B" w:rsidRDefault="00E52A6B" w:rsidP="00E52A6B">
      <w:pPr>
        <w:tabs>
          <w:tab w:val="left" w:pos="2120"/>
        </w:tabs>
        <w:rPr>
          <w:rFonts w:cs="Arial"/>
          <w:szCs w:val="22"/>
        </w:rPr>
      </w:pPr>
    </w:p>
    <w:p w:rsidR="00E52A6B" w:rsidRPr="00475FC5" w:rsidRDefault="00E52A6B" w:rsidP="008B74E8">
      <w:pPr>
        <w:tabs>
          <w:tab w:val="left" w:pos="2120"/>
        </w:tabs>
        <w:spacing w:after="100"/>
        <w:rPr>
          <w:rFonts w:cs="Arial"/>
          <w:szCs w:val="22"/>
        </w:rPr>
      </w:pPr>
      <w:r w:rsidRPr="00475FC5">
        <w:rPr>
          <w:rFonts w:cs="Arial"/>
          <w:szCs w:val="22"/>
        </w:rPr>
        <w:t>Other essential criteria include:</w:t>
      </w:r>
    </w:p>
    <w:p w:rsidR="00E52A6B" w:rsidRPr="002411A2" w:rsidRDefault="00E52A6B" w:rsidP="00E52A6B">
      <w:pPr>
        <w:pStyle w:val="Default"/>
        <w:numPr>
          <w:ilvl w:val="0"/>
          <w:numId w:val="12"/>
        </w:numPr>
        <w:rPr>
          <w:sz w:val="22"/>
          <w:szCs w:val="22"/>
        </w:rPr>
      </w:pPr>
      <w:r w:rsidRPr="002411A2">
        <w:rPr>
          <w:sz w:val="22"/>
          <w:szCs w:val="22"/>
        </w:rPr>
        <w:t>An academic degree in psychology / neuroscience / engineering / computer science</w:t>
      </w:r>
    </w:p>
    <w:p w:rsidR="00E52A6B" w:rsidRPr="00475FC5" w:rsidRDefault="00E52A6B" w:rsidP="00E52A6B">
      <w:pPr>
        <w:pStyle w:val="Default"/>
        <w:numPr>
          <w:ilvl w:val="0"/>
          <w:numId w:val="12"/>
        </w:numPr>
        <w:rPr>
          <w:sz w:val="22"/>
          <w:szCs w:val="22"/>
        </w:rPr>
      </w:pPr>
      <w:r w:rsidRPr="00475FC5">
        <w:rPr>
          <w:sz w:val="22"/>
          <w:szCs w:val="22"/>
        </w:rPr>
        <w:t>Strong programming skills, e.g. Matlab / Python</w:t>
      </w:r>
    </w:p>
    <w:p w:rsidR="00E52A6B" w:rsidRPr="00475FC5" w:rsidRDefault="00E52A6B" w:rsidP="00E52A6B">
      <w:pPr>
        <w:pStyle w:val="Default"/>
        <w:numPr>
          <w:ilvl w:val="0"/>
          <w:numId w:val="12"/>
        </w:numPr>
        <w:rPr>
          <w:sz w:val="22"/>
          <w:szCs w:val="22"/>
        </w:rPr>
      </w:pPr>
      <w:r w:rsidRPr="00475FC5">
        <w:rPr>
          <w:sz w:val="22"/>
          <w:szCs w:val="22"/>
        </w:rPr>
        <w:t>An enthusiasm to work at the interface of vision science and display technology</w:t>
      </w:r>
    </w:p>
    <w:p w:rsidR="00E52A6B" w:rsidRPr="00475FC5" w:rsidRDefault="00E52A6B" w:rsidP="00E52A6B">
      <w:pPr>
        <w:pStyle w:val="Default"/>
        <w:numPr>
          <w:ilvl w:val="0"/>
          <w:numId w:val="12"/>
        </w:numPr>
        <w:rPr>
          <w:sz w:val="22"/>
          <w:szCs w:val="22"/>
        </w:rPr>
      </w:pPr>
      <w:r w:rsidRPr="00475FC5">
        <w:rPr>
          <w:sz w:val="22"/>
          <w:szCs w:val="22"/>
        </w:rPr>
        <w:t xml:space="preserve">At the time of recruitment, the candidate must not have resided or carried out their main activity in the UK for more than 12 months in the three years prior to the application. This is an Early Stage Researcher (ESR) position in the framework of the project RealVision (Horizon 2020 MARIE SKŁODOWSKA-CURIE ACTIONS). Applicants shall, at the time of recruitment by the host organization, be in the first four years (full-time equivalent research experience) of their research careers and not yet have been awarded a doctoral degree. Full-Time Equivalent Research Experience is measured </w:t>
      </w:r>
      <w:r w:rsidRPr="00475FC5">
        <w:rPr>
          <w:sz w:val="22"/>
          <w:szCs w:val="22"/>
        </w:rPr>
        <w:lastRenderedPageBreak/>
        <w:t>from the date when a researcher obtained the degree that would formally entitle him/her to embark on a doctorate.</w:t>
      </w:r>
    </w:p>
    <w:p w:rsidR="00E52A6B" w:rsidRPr="00475FC5" w:rsidRDefault="00E52A6B" w:rsidP="00C8215C">
      <w:pPr>
        <w:pStyle w:val="Default"/>
        <w:spacing w:before="60" w:after="40"/>
        <w:rPr>
          <w:b/>
          <w:sz w:val="22"/>
          <w:szCs w:val="22"/>
        </w:rPr>
      </w:pPr>
      <w:r w:rsidRPr="00475FC5">
        <w:rPr>
          <w:snapToGrid w:val="0"/>
          <w:sz w:val="22"/>
          <w:szCs w:val="22"/>
        </w:rPr>
        <w:t xml:space="preserve"> </w:t>
      </w:r>
      <w:r w:rsidRPr="00475FC5">
        <w:rPr>
          <w:b/>
          <w:sz w:val="22"/>
          <w:szCs w:val="22"/>
        </w:rPr>
        <w:t>Desirable</w:t>
      </w:r>
    </w:p>
    <w:p w:rsidR="00E52A6B" w:rsidRPr="00475FC5" w:rsidRDefault="00E52A6B" w:rsidP="00E52A6B">
      <w:pPr>
        <w:pStyle w:val="NormalWeb"/>
        <w:numPr>
          <w:ilvl w:val="0"/>
          <w:numId w:val="13"/>
        </w:numPr>
        <w:rPr>
          <w:sz w:val="22"/>
          <w:szCs w:val="22"/>
        </w:rPr>
      </w:pPr>
      <w:r w:rsidRPr="00475FC5">
        <w:rPr>
          <w:sz w:val="22"/>
          <w:szCs w:val="22"/>
        </w:rPr>
        <w:t>Knowledge of human colour vision and colour display technology</w:t>
      </w:r>
    </w:p>
    <w:p w:rsidR="00E52A6B" w:rsidRPr="00C03182" w:rsidRDefault="00E52A6B" w:rsidP="00E52A6B">
      <w:pPr>
        <w:pStyle w:val="NormalWeb"/>
        <w:numPr>
          <w:ilvl w:val="0"/>
          <w:numId w:val="13"/>
        </w:numPr>
        <w:rPr>
          <w:sz w:val="22"/>
          <w:szCs w:val="22"/>
        </w:rPr>
      </w:pPr>
      <w:r w:rsidRPr="00475FC5">
        <w:rPr>
          <w:sz w:val="22"/>
          <w:szCs w:val="22"/>
        </w:rPr>
        <w:t>Experience running psychophysical experiments to assess human performance</w:t>
      </w:r>
    </w:p>
    <w:p w:rsidR="00E52A6B" w:rsidRPr="00E23F88" w:rsidRDefault="00E52A6B" w:rsidP="00E52A6B">
      <w:pPr>
        <w:pStyle w:val="NormalWeb"/>
        <w:spacing w:before="360" w:after="120"/>
        <w:rPr>
          <w:b/>
          <w:color w:val="000000"/>
          <w:sz w:val="22"/>
          <w:szCs w:val="22"/>
        </w:rPr>
      </w:pPr>
      <w:r w:rsidRPr="00E23F88">
        <w:rPr>
          <w:b/>
          <w:color w:val="000000"/>
          <w:sz w:val="22"/>
          <w:szCs w:val="22"/>
        </w:rPr>
        <w:t>How to apply</w:t>
      </w:r>
      <w:r>
        <w:rPr>
          <w:b/>
          <w:color w:val="000000"/>
          <w:sz w:val="22"/>
          <w:szCs w:val="22"/>
        </w:rPr>
        <w:t xml:space="preserve"> for the DPhil place</w:t>
      </w:r>
    </w:p>
    <w:p w:rsidR="00E52A6B" w:rsidRPr="00E23F88" w:rsidRDefault="00E52A6B" w:rsidP="0048577C">
      <w:pPr>
        <w:spacing w:after="160"/>
        <w:rPr>
          <w:rFonts w:cs="Arial"/>
          <w:szCs w:val="22"/>
        </w:rPr>
      </w:pPr>
      <w:r w:rsidRPr="00E23F88">
        <w:rPr>
          <w:rFonts w:cs="Arial"/>
          <w:szCs w:val="22"/>
        </w:rPr>
        <w:t>In addition to the submission of a completed application form and the application fee, the following materials are compulsory for all applications:</w:t>
      </w:r>
    </w:p>
    <w:p w:rsidR="00E52A6B" w:rsidRPr="00E23F88" w:rsidRDefault="00E52A6B" w:rsidP="002A3C14">
      <w:pPr>
        <w:widowControl w:val="0"/>
        <w:numPr>
          <w:ilvl w:val="0"/>
          <w:numId w:val="14"/>
        </w:numPr>
        <w:tabs>
          <w:tab w:val="clear" w:pos="576"/>
          <w:tab w:val="clear" w:pos="1152"/>
          <w:tab w:val="clear" w:pos="1728"/>
          <w:tab w:val="clear" w:pos="5760"/>
        </w:tabs>
        <w:spacing w:after="80" w:line="240" w:lineRule="auto"/>
        <w:ind w:left="714" w:hanging="357"/>
        <w:rPr>
          <w:rFonts w:cs="Arial"/>
          <w:szCs w:val="22"/>
        </w:rPr>
      </w:pPr>
      <w:r w:rsidRPr="00E23F88">
        <w:rPr>
          <w:rFonts w:cs="Arial"/>
          <w:szCs w:val="22"/>
        </w:rPr>
        <w:t xml:space="preserve">Three academic references </w:t>
      </w:r>
    </w:p>
    <w:p w:rsidR="00E52A6B" w:rsidRPr="00E23F88" w:rsidRDefault="00E52A6B" w:rsidP="002A3C14">
      <w:pPr>
        <w:widowControl w:val="0"/>
        <w:numPr>
          <w:ilvl w:val="0"/>
          <w:numId w:val="14"/>
        </w:numPr>
        <w:tabs>
          <w:tab w:val="clear" w:pos="576"/>
          <w:tab w:val="clear" w:pos="1152"/>
          <w:tab w:val="clear" w:pos="1728"/>
          <w:tab w:val="clear" w:pos="5760"/>
        </w:tabs>
        <w:spacing w:after="80" w:line="240" w:lineRule="auto"/>
        <w:ind w:left="714" w:hanging="357"/>
        <w:rPr>
          <w:rFonts w:cs="Arial"/>
          <w:szCs w:val="22"/>
        </w:rPr>
      </w:pPr>
      <w:r w:rsidRPr="00E23F88">
        <w:rPr>
          <w:rFonts w:cs="Arial"/>
          <w:szCs w:val="22"/>
        </w:rPr>
        <w:t xml:space="preserve">Transcript(s) of previous higher education </w:t>
      </w:r>
    </w:p>
    <w:p w:rsidR="00E52A6B" w:rsidRPr="00E23F88" w:rsidRDefault="00E52A6B" w:rsidP="002A3C14">
      <w:pPr>
        <w:widowControl w:val="0"/>
        <w:numPr>
          <w:ilvl w:val="0"/>
          <w:numId w:val="14"/>
        </w:numPr>
        <w:tabs>
          <w:tab w:val="clear" w:pos="576"/>
          <w:tab w:val="clear" w:pos="1152"/>
          <w:tab w:val="clear" w:pos="1728"/>
          <w:tab w:val="clear" w:pos="5760"/>
        </w:tabs>
        <w:spacing w:after="80" w:line="240" w:lineRule="auto"/>
        <w:ind w:left="714" w:hanging="357"/>
        <w:rPr>
          <w:rFonts w:cs="Arial"/>
          <w:szCs w:val="22"/>
        </w:rPr>
      </w:pPr>
      <w:r w:rsidRPr="00E23F88">
        <w:rPr>
          <w:rFonts w:cs="Arial"/>
          <w:szCs w:val="22"/>
        </w:rPr>
        <w:t xml:space="preserve">CV/résumé </w:t>
      </w:r>
    </w:p>
    <w:p w:rsidR="00E52A6B" w:rsidRPr="00E23F88" w:rsidRDefault="00E52A6B" w:rsidP="002A3C14">
      <w:pPr>
        <w:widowControl w:val="0"/>
        <w:numPr>
          <w:ilvl w:val="0"/>
          <w:numId w:val="14"/>
        </w:numPr>
        <w:tabs>
          <w:tab w:val="clear" w:pos="576"/>
          <w:tab w:val="clear" w:pos="1152"/>
          <w:tab w:val="clear" w:pos="1728"/>
          <w:tab w:val="clear" w:pos="5760"/>
        </w:tabs>
        <w:spacing w:after="140" w:line="240" w:lineRule="auto"/>
        <w:ind w:left="714" w:hanging="357"/>
        <w:rPr>
          <w:rFonts w:cs="Arial"/>
          <w:szCs w:val="22"/>
        </w:rPr>
      </w:pPr>
      <w:r w:rsidRPr="00E23F88">
        <w:rPr>
          <w:rFonts w:cs="Arial"/>
          <w:szCs w:val="22"/>
        </w:rPr>
        <w:t>1-2 page research proposal. This should be on the topic of individual differences in colour vision and their application to display technology.</w:t>
      </w:r>
    </w:p>
    <w:p w:rsidR="00E52A6B" w:rsidRPr="00E23F88" w:rsidRDefault="00E52A6B" w:rsidP="0048577C">
      <w:pPr>
        <w:pStyle w:val="NormalWeb"/>
        <w:jc w:val="both"/>
        <w:rPr>
          <w:color w:val="000000"/>
          <w:sz w:val="22"/>
          <w:szCs w:val="22"/>
        </w:rPr>
      </w:pPr>
      <w:r w:rsidRPr="00E23F88">
        <w:rPr>
          <w:color w:val="000000"/>
          <w:sz w:val="22"/>
          <w:szCs w:val="22"/>
        </w:rPr>
        <w:t xml:space="preserve">On the main University online graduate application form you need to apply for both the DPhil programme and this specific studentship, and pay the application fee. The application form, all supporting materials required for the DPhil programme (including references) and payment must be submitted by the </w:t>
      </w:r>
      <w:r w:rsidRPr="00E23F88">
        <w:rPr>
          <w:b/>
          <w:color w:val="000000"/>
          <w:sz w:val="22"/>
          <w:szCs w:val="22"/>
        </w:rPr>
        <w:t>01/06/2018</w:t>
      </w:r>
      <w:r w:rsidRPr="00E23F88">
        <w:rPr>
          <w:color w:val="000000"/>
          <w:sz w:val="22"/>
          <w:szCs w:val="22"/>
        </w:rPr>
        <w:t xml:space="preserve">. Further details, guidance notes and information about fees can be found here </w:t>
      </w:r>
      <w:hyperlink r:id="rId12" w:tgtFrame="_self" w:history="1">
        <w:r w:rsidRPr="00E23F88">
          <w:rPr>
            <w:rStyle w:val="Hyperlink"/>
            <w:sz w:val="22"/>
            <w:szCs w:val="22"/>
          </w:rPr>
          <w:t>application form and application guide</w:t>
        </w:r>
      </w:hyperlink>
      <w:r w:rsidRPr="00E23F88">
        <w:rPr>
          <w:color w:val="000000"/>
          <w:sz w:val="22"/>
          <w:szCs w:val="22"/>
        </w:rPr>
        <w:t xml:space="preserve">. </w:t>
      </w:r>
    </w:p>
    <w:p w:rsidR="00E52A6B" w:rsidRPr="00E23F88" w:rsidRDefault="00E52A6B" w:rsidP="0048577C">
      <w:pPr>
        <w:pStyle w:val="Default"/>
        <w:jc w:val="both"/>
        <w:rPr>
          <w:sz w:val="22"/>
          <w:szCs w:val="22"/>
        </w:rPr>
      </w:pPr>
    </w:p>
    <w:p w:rsidR="00E52A6B" w:rsidRPr="00E23F88" w:rsidRDefault="00E52A6B" w:rsidP="002A3C14">
      <w:pPr>
        <w:pStyle w:val="Default"/>
        <w:spacing w:after="160"/>
        <w:jc w:val="both"/>
        <w:rPr>
          <w:sz w:val="22"/>
          <w:szCs w:val="22"/>
        </w:rPr>
      </w:pPr>
      <w:r w:rsidRPr="007B299D">
        <w:rPr>
          <w:sz w:val="22"/>
          <w:szCs w:val="22"/>
          <w:u w:val="single"/>
        </w:rPr>
        <w:t>Application details</w:t>
      </w:r>
      <w:r w:rsidRPr="00E23F88">
        <w:rPr>
          <w:sz w:val="22"/>
          <w:szCs w:val="22"/>
        </w:rPr>
        <w:t>:</w:t>
      </w:r>
    </w:p>
    <w:p w:rsidR="0048577C" w:rsidRDefault="0048577C" w:rsidP="0048577C">
      <w:pPr>
        <w:pStyle w:val="Default"/>
        <w:spacing w:after="60"/>
        <w:jc w:val="both"/>
        <w:rPr>
          <w:sz w:val="22"/>
          <w:szCs w:val="22"/>
        </w:rPr>
      </w:pPr>
      <w:r>
        <w:rPr>
          <w:sz w:val="22"/>
          <w:szCs w:val="22"/>
        </w:rPr>
        <w:t xml:space="preserve">To submit your application, </w:t>
      </w:r>
      <w:r w:rsidR="00E52A6B" w:rsidRPr="00E23F88">
        <w:rPr>
          <w:sz w:val="22"/>
          <w:szCs w:val="22"/>
        </w:rPr>
        <w:t>access the official online application for University of Oxford Graduate Programmes:</w:t>
      </w:r>
    </w:p>
    <w:p w:rsidR="00E52A6B" w:rsidRPr="00E23F88" w:rsidRDefault="00E52A6B" w:rsidP="0048577C">
      <w:pPr>
        <w:pStyle w:val="Default"/>
        <w:jc w:val="both"/>
        <w:rPr>
          <w:color w:val="1F497D"/>
          <w:sz w:val="22"/>
          <w:szCs w:val="22"/>
        </w:rPr>
      </w:pPr>
      <w:r w:rsidRPr="00E23F88">
        <w:rPr>
          <w:color w:val="1F497D"/>
          <w:sz w:val="22"/>
          <w:szCs w:val="22"/>
        </w:rPr>
        <w:t>http://www.ox.ac.uk/admissions/graduate/applying-to-oxford/application-guide</w:t>
      </w:r>
    </w:p>
    <w:p w:rsidR="0048577C" w:rsidRDefault="0048577C" w:rsidP="0048577C">
      <w:pPr>
        <w:pStyle w:val="Default"/>
        <w:jc w:val="both"/>
        <w:rPr>
          <w:sz w:val="22"/>
          <w:szCs w:val="22"/>
        </w:rPr>
      </w:pPr>
    </w:p>
    <w:p w:rsidR="00E52A6B" w:rsidRPr="00E23F88" w:rsidRDefault="00E52A6B" w:rsidP="0048577C">
      <w:pPr>
        <w:pStyle w:val="Default"/>
        <w:jc w:val="both"/>
        <w:rPr>
          <w:sz w:val="22"/>
          <w:szCs w:val="22"/>
        </w:rPr>
      </w:pPr>
      <w:r w:rsidRPr="00E23F88">
        <w:rPr>
          <w:sz w:val="22"/>
          <w:szCs w:val="22"/>
        </w:rPr>
        <w:t xml:space="preserve">On the application form you </w:t>
      </w:r>
      <w:r w:rsidRPr="00E23F88">
        <w:rPr>
          <w:b/>
          <w:sz w:val="22"/>
          <w:szCs w:val="22"/>
        </w:rPr>
        <w:t>must</w:t>
      </w:r>
      <w:r w:rsidRPr="00E23F88">
        <w:rPr>
          <w:sz w:val="22"/>
          <w:szCs w:val="22"/>
        </w:rPr>
        <w:t xml:space="preserve"> quote the unique reference code quoted at the top of this job description in order to apply for the studentship. </w:t>
      </w:r>
      <w:r w:rsidRPr="00E23F88">
        <w:rPr>
          <w:b/>
          <w:sz w:val="22"/>
          <w:szCs w:val="22"/>
        </w:rPr>
        <w:t xml:space="preserve">- </w:t>
      </w:r>
      <w:r w:rsidRPr="00E23F88">
        <w:rPr>
          <w:b/>
          <w:szCs w:val="22"/>
        </w:rPr>
        <w:t>18EXPSY01WEB</w:t>
      </w:r>
    </w:p>
    <w:p w:rsidR="00E52A6B" w:rsidRPr="00E23F88" w:rsidRDefault="00E52A6B" w:rsidP="0048577C">
      <w:pPr>
        <w:pStyle w:val="Default"/>
        <w:jc w:val="both"/>
        <w:rPr>
          <w:sz w:val="22"/>
          <w:szCs w:val="22"/>
        </w:rPr>
      </w:pPr>
    </w:p>
    <w:p w:rsidR="00E52A6B" w:rsidRPr="00E23F88" w:rsidRDefault="00E52A6B" w:rsidP="0048577C">
      <w:pPr>
        <w:pStyle w:val="Default"/>
        <w:jc w:val="both"/>
        <w:rPr>
          <w:sz w:val="22"/>
          <w:szCs w:val="22"/>
        </w:rPr>
      </w:pPr>
      <w:r w:rsidRPr="00E23F88">
        <w:rPr>
          <w:sz w:val="22"/>
          <w:szCs w:val="22"/>
        </w:rPr>
        <w:t xml:space="preserve">You must also apply for the </w:t>
      </w:r>
      <w:r w:rsidRPr="00E23F88">
        <w:rPr>
          <w:b/>
          <w:sz w:val="22"/>
          <w:szCs w:val="22"/>
        </w:rPr>
        <w:t>DPhil in Experimental Psychology Course</w:t>
      </w:r>
      <w:r w:rsidRPr="00E23F88">
        <w:rPr>
          <w:sz w:val="22"/>
          <w:szCs w:val="22"/>
        </w:rPr>
        <w:t xml:space="preserve"> using the course code: RD_EP1.</w:t>
      </w:r>
    </w:p>
    <w:p w:rsidR="00E52A6B" w:rsidRPr="00E23F88" w:rsidRDefault="00E52A6B" w:rsidP="0048577C">
      <w:pPr>
        <w:pStyle w:val="Default"/>
        <w:jc w:val="both"/>
        <w:rPr>
          <w:sz w:val="22"/>
          <w:szCs w:val="22"/>
        </w:rPr>
      </w:pPr>
    </w:p>
    <w:p w:rsidR="00E52A6B" w:rsidRPr="00E23F88" w:rsidRDefault="006701B3" w:rsidP="002A3C14">
      <w:pPr>
        <w:pStyle w:val="Default"/>
        <w:spacing w:after="160"/>
        <w:jc w:val="both"/>
        <w:rPr>
          <w:sz w:val="22"/>
          <w:szCs w:val="22"/>
        </w:rPr>
      </w:pPr>
      <w:r>
        <w:rPr>
          <w:sz w:val="22"/>
          <w:szCs w:val="22"/>
        </w:rPr>
        <w:t xml:space="preserve">This studentship is associated with </w:t>
      </w:r>
      <w:r w:rsidR="00E52A6B" w:rsidRPr="00E23F88">
        <w:rPr>
          <w:sz w:val="22"/>
          <w:szCs w:val="22"/>
        </w:rPr>
        <w:t>Pembroke College</w:t>
      </w:r>
      <w:r w:rsidR="007B299D">
        <w:rPr>
          <w:sz w:val="22"/>
          <w:szCs w:val="22"/>
        </w:rPr>
        <w:t>.</w:t>
      </w:r>
      <w:r>
        <w:rPr>
          <w:sz w:val="22"/>
          <w:szCs w:val="22"/>
        </w:rPr>
        <w:t xml:space="preserve"> In the application form for “College preference” please select “I have no college preference”.</w:t>
      </w:r>
    </w:p>
    <w:p w:rsidR="00E52A6B" w:rsidRPr="007B299D" w:rsidRDefault="00E52A6B" w:rsidP="0048577C">
      <w:pPr>
        <w:pStyle w:val="NormalWeb"/>
        <w:jc w:val="both"/>
        <w:rPr>
          <w:rStyle w:val="Strong"/>
          <w:b w:val="0"/>
          <w:sz w:val="22"/>
          <w:szCs w:val="22"/>
          <w:lang w:val="en"/>
        </w:rPr>
      </w:pPr>
      <w:r w:rsidRPr="0048577C">
        <w:rPr>
          <w:rStyle w:val="Strong"/>
          <w:b w:val="0"/>
          <w:sz w:val="22"/>
          <w:szCs w:val="22"/>
          <w:lang w:val="en"/>
        </w:rPr>
        <w:t>C</w:t>
      </w:r>
      <w:r w:rsidR="0048577C">
        <w:rPr>
          <w:rStyle w:val="Strong"/>
          <w:b w:val="0"/>
          <w:sz w:val="22"/>
          <w:szCs w:val="22"/>
          <w:lang w:val="en"/>
        </w:rPr>
        <w:t xml:space="preserve">losing date for applications is </w:t>
      </w:r>
      <w:r w:rsidR="0048577C" w:rsidRPr="0048577C">
        <w:rPr>
          <w:rStyle w:val="Strong"/>
          <w:b w:val="0"/>
          <w:sz w:val="22"/>
          <w:szCs w:val="22"/>
          <w:u w:val="single"/>
          <w:lang w:val="en"/>
        </w:rPr>
        <w:t>1</w:t>
      </w:r>
      <w:r w:rsidR="0048577C" w:rsidRPr="0048577C">
        <w:rPr>
          <w:rStyle w:val="Strong"/>
          <w:b w:val="0"/>
          <w:sz w:val="22"/>
          <w:szCs w:val="22"/>
          <w:u w:val="single"/>
          <w:vertAlign w:val="superscript"/>
          <w:lang w:val="en"/>
        </w:rPr>
        <w:t>st</w:t>
      </w:r>
      <w:r w:rsidR="0048577C" w:rsidRPr="0048577C">
        <w:rPr>
          <w:rStyle w:val="Strong"/>
          <w:b w:val="0"/>
          <w:sz w:val="22"/>
          <w:szCs w:val="22"/>
          <w:u w:val="single"/>
          <w:lang w:val="en"/>
        </w:rPr>
        <w:t xml:space="preserve"> June 2018</w:t>
      </w:r>
      <w:r w:rsidR="007B299D">
        <w:rPr>
          <w:rStyle w:val="Strong"/>
          <w:b w:val="0"/>
          <w:sz w:val="22"/>
          <w:szCs w:val="22"/>
          <w:lang w:val="en"/>
        </w:rPr>
        <w:t>.</w:t>
      </w:r>
    </w:p>
    <w:p w:rsidR="0048577C" w:rsidRPr="0048577C" w:rsidRDefault="0048577C" w:rsidP="0048577C">
      <w:pPr>
        <w:pStyle w:val="Default"/>
        <w:rPr>
          <w:lang w:val="en"/>
        </w:rPr>
      </w:pPr>
    </w:p>
    <w:p w:rsidR="00E52A6B" w:rsidRPr="00463394" w:rsidRDefault="00E52A6B" w:rsidP="00E52A6B">
      <w:pPr>
        <w:rPr>
          <w:b/>
          <w:szCs w:val="22"/>
        </w:rPr>
      </w:pPr>
    </w:p>
    <w:p w:rsidR="00E52A6B" w:rsidRDefault="0048577C" w:rsidP="00E52A6B">
      <w:pPr>
        <w:rPr>
          <w:b/>
          <w:szCs w:val="22"/>
        </w:rPr>
      </w:pPr>
      <w:r>
        <w:rPr>
          <w:b/>
          <w:szCs w:val="22"/>
        </w:rPr>
        <w:t>How to apply for the F</w:t>
      </w:r>
      <w:r w:rsidR="00E52A6B" w:rsidRPr="00014EBD">
        <w:rPr>
          <w:b/>
          <w:szCs w:val="22"/>
        </w:rPr>
        <w:t>ellowship position</w:t>
      </w:r>
    </w:p>
    <w:p w:rsidR="0048577C" w:rsidRDefault="0048577C" w:rsidP="0048577C">
      <w:pPr>
        <w:rPr>
          <w:b/>
          <w:szCs w:val="22"/>
        </w:rPr>
      </w:pPr>
    </w:p>
    <w:p w:rsidR="0048577C" w:rsidRPr="0048577C" w:rsidRDefault="0048577C" w:rsidP="0048577C">
      <w:pPr>
        <w:numPr>
          <w:ilvl w:val="0"/>
          <w:numId w:val="16"/>
        </w:numPr>
        <w:spacing w:line="240" w:lineRule="auto"/>
        <w:rPr>
          <w:szCs w:val="22"/>
        </w:rPr>
      </w:pPr>
      <w:r>
        <w:rPr>
          <w:szCs w:val="22"/>
        </w:rPr>
        <w:t xml:space="preserve">Fellowship </w:t>
      </w:r>
    </w:p>
    <w:p w:rsidR="0048577C" w:rsidRDefault="0048577C" w:rsidP="0048577C">
      <w:pPr>
        <w:spacing w:line="240" w:lineRule="auto"/>
        <w:rPr>
          <w:b/>
          <w:szCs w:val="22"/>
        </w:rPr>
      </w:pPr>
    </w:p>
    <w:p w:rsidR="0048577C" w:rsidRPr="007B299D" w:rsidRDefault="00E52A6B" w:rsidP="007B299D">
      <w:pPr>
        <w:pStyle w:val="ListParagraph"/>
        <w:tabs>
          <w:tab w:val="clear" w:pos="1728"/>
          <w:tab w:val="clear" w:pos="5760"/>
          <w:tab w:val="left" w:pos="1701"/>
          <w:tab w:val="left" w:pos="5670"/>
          <w:tab w:val="right" w:pos="9356"/>
        </w:tabs>
        <w:suppressAutoHyphens w:val="0"/>
        <w:spacing w:after="120" w:line="240" w:lineRule="auto"/>
        <w:ind w:left="0"/>
        <w:rPr>
          <w:szCs w:val="22"/>
        </w:rPr>
      </w:pPr>
      <w:r w:rsidRPr="00E52A6B">
        <w:rPr>
          <w:color w:val="000000"/>
          <w:szCs w:val="22"/>
        </w:rPr>
        <w:t xml:space="preserve">To apply for the fellowship position you need to complete the online application form </w:t>
      </w:r>
      <w:r w:rsidR="0048577C">
        <w:rPr>
          <w:szCs w:val="22"/>
        </w:rPr>
        <w:t xml:space="preserve">by </w:t>
      </w:r>
      <w:r w:rsidRPr="00340536">
        <w:rPr>
          <w:szCs w:val="22"/>
        </w:rPr>
        <w:t xml:space="preserve">following the link </w:t>
      </w:r>
      <w:r>
        <w:rPr>
          <w:szCs w:val="22"/>
        </w:rPr>
        <w:t>to the</w:t>
      </w:r>
      <w:r w:rsidRPr="00340536">
        <w:rPr>
          <w:szCs w:val="22"/>
        </w:rPr>
        <w:t xml:space="preserve"> current vaca</w:t>
      </w:r>
      <w:r>
        <w:rPr>
          <w:szCs w:val="22"/>
        </w:rPr>
        <w:t>ncies at</w:t>
      </w:r>
      <w:r w:rsidR="0048577C">
        <w:rPr>
          <w:szCs w:val="22"/>
        </w:rPr>
        <w:t>:</w:t>
      </w:r>
    </w:p>
    <w:p w:rsidR="002A3C14" w:rsidRDefault="002A3C14" w:rsidP="0048577C">
      <w:pPr>
        <w:pStyle w:val="ListParagraph"/>
        <w:tabs>
          <w:tab w:val="clear" w:pos="576"/>
          <w:tab w:val="clear" w:pos="1728"/>
          <w:tab w:val="clear" w:pos="5760"/>
          <w:tab w:val="left" w:pos="567"/>
          <w:tab w:val="left" w:pos="1701"/>
          <w:tab w:val="left" w:pos="5670"/>
          <w:tab w:val="right" w:pos="9356"/>
        </w:tabs>
        <w:suppressAutoHyphens w:val="0"/>
        <w:spacing w:line="240" w:lineRule="auto"/>
        <w:ind w:left="0"/>
        <w:rPr>
          <w:szCs w:val="22"/>
        </w:rPr>
      </w:pPr>
    </w:p>
    <w:p w:rsidR="00B93166" w:rsidRDefault="00EC3B02" w:rsidP="0048577C">
      <w:pPr>
        <w:pStyle w:val="ListParagraph"/>
        <w:tabs>
          <w:tab w:val="clear" w:pos="576"/>
          <w:tab w:val="clear" w:pos="1728"/>
          <w:tab w:val="clear" w:pos="5760"/>
          <w:tab w:val="left" w:pos="567"/>
          <w:tab w:val="left" w:pos="1701"/>
          <w:tab w:val="left" w:pos="5670"/>
          <w:tab w:val="right" w:pos="9356"/>
        </w:tabs>
        <w:suppressAutoHyphens w:val="0"/>
        <w:spacing w:line="240" w:lineRule="auto"/>
        <w:ind w:left="0"/>
        <w:rPr>
          <w:rStyle w:val="Hyperlink"/>
          <w:iCs/>
          <w:szCs w:val="22"/>
        </w:rPr>
      </w:pPr>
      <w:hyperlink r:id="rId13" w:history="1">
        <w:r w:rsidR="00B93166" w:rsidRPr="00340536">
          <w:rPr>
            <w:rStyle w:val="Hyperlink"/>
            <w:iCs/>
            <w:szCs w:val="22"/>
          </w:rPr>
          <w:t>https://www.psy.ox.ac.uk/about-us/job-opportunities</w:t>
        </w:r>
      </w:hyperlink>
    </w:p>
    <w:p w:rsidR="00B93166" w:rsidRDefault="00B93166" w:rsidP="0048577C">
      <w:pPr>
        <w:pStyle w:val="ListParagraph"/>
        <w:tabs>
          <w:tab w:val="clear" w:pos="576"/>
          <w:tab w:val="clear" w:pos="1728"/>
          <w:tab w:val="clear" w:pos="5760"/>
          <w:tab w:val="left" w:pos="567"/>
          <w:tab w:val="left" w:pos="1701"/>
          <w:tab w:val="left" w:pos="5670"/>
          <w:tab w:val="right" w:pos="9356"/>
        </w:tabs>
        <w:suppressAutoHyphens w:val="0"/>
        <w:spacing w:line="240" w:lineRule="auto"/>
        <w:ind w:left="0"/>
        <w:rPr>
          <w:szCs w:val="22"/>
        </w:rPr>
      </w:pPr>
    </w:p>
    <w:p w:rsidR="002A3C14" w:rsidRDefault="007B299D" w:rsidP="007B299D">
      <w:pPr>
        <w:rPr>
          <w:rFonts w:cs="Arial"/>
          <w:szCs w:val="22"/>
        </w:rPr>
      </w:pPr>
      <w:r>
        <w:rPr>
          <w:rFonts w:cs="Arial"/>
          <w:szCs w:val="22"/>
        </w:rPr>
        <w:t>T</w:t>
      </w:r>
      <w:r w:rsidR="002A3C14">
        <w:rPr>
          <w:rFonts w:cs="Arial"/>
          <w:szCs w:val="22"/>
        </w:rPr>
        <w:t>o apply</w:t>
      </w:r>
      <w:r w:rsidR="002A3C14" w:rsidRPr="0020363F">
        <w:rPr>
          <w:rFonts w:cs="Arial"/>
          <w:szCs w:val="22"/>
        </w:rPr>
        <w:t xml:space="preserve">, click on the </w:t>
      </w:r>
      <w:r w:rsidR="002A3C14" w:rsidRPr="0020363F">
        <w:rPr>
          <w:rFonts w:cs="Arial"/>
          <w:b/>
          <w:szCs w:val="22"/>
        </w:rPr>
        <w:t xml:space="preserve">Apply Now </w:t>
      </w:r>
      <w:r w:rsidR="002A3C14" w:rsidRPr="0020363F">
        <w:rPr>
          <w:rFonts w:cs="Arial"/>
          <w:szCs w:val="22"/>
        </w:rPr>
        <w:t>button on the ‘Job Details’ page and follow the on-screen instructions to r</w:t>
      </w:r>
      <w:r w:rsidR="002A3C14">
        <w:rPr>
          <w:rFonts w:cs="Arial"/>
          <w:szCs w:val="22"/>
        </w:rPr>
        <w:t xml:space="preserve">egister as a new user or log-in if you have applied previously. </w:t>
      </w:r>
    </w:p>
    <w:p w:rsidR="002A3C14" w:rsidRDefault="002A3C14" w:rsidP="007B299D">
      <w:pPr>
        <w:rPr>
          <w:rFonts w:cs="Arial"/>
          <w:szCs w:val="22"/>
        </w:rPr>
      </w:pPr>
    </w:p>
    <w:p w:rsidR="007B299D" w:rsidRDefault="002A3C14" w:rsidP="007B299D">
      <w:pPr>
        <w:spacing w:after="120"/>
      </w:pPr>
      <w:r w:rsidRPr="007B299D">
        <w:rPr>
          <w:rFonts w:cs="Arial"/>
          <w:szCs w:val="22"/>
        </w:rPr>
        <w:t xml:space="preserve">You will also be asked to upload a CV and a supporting statement. </w:t>
      </w:r>
      <w:r w:rsidRPr="007B299D">
        <w:t>The supporting statement must explain how you meet each of the selection criteria for the post using examples of your skills and experience.</w:t>
      </w:r>
      <w:r>
        <w:t xml:space="preserve"> </w:t>
      </w:r>
    </w:p>
    <w:p w:rsidR="002A3C14" w:rsidRDefault="007B299D" w:rsidP="007B299D">
      <w:pPr>
        <w:rPr>
          <w:rFonts w:cs="Arial"/>
          <w:szCs w:val="22"/>
        </w:rPr>
      </w:pPr>
      <w:r w:rsidRPr="007B299D">
        <w:t>P</w:t>
      </w:r>
      <w:r w:rsidR="002A3C14" w:rsidRPr="007B299D">
        <w:t xml:space="preserve">lease upload all documents </w:t>
      </w:r>
      <w:r w:rsidR="002A3C14" w:rsidRPr="007B299D">
        <w:rPr>
          <w:b/>
          <w:bCs/>
        </w:rPr>
        <w:t>as PDF files</w:t>
      </w:r>
      <w:r w:rsidR="002A3C14" w:rsidRPr="007B299D">
        <w:t xml:space="preserve"> with your name and the document type in the filename. </w:t>
      </w:r>
      <w:r w:rsidR="002A3C14">
        <w:rPr>
          <w:rFonts w:cs="Arial"/>
          <w:szCs w:val="22"/>
        </w:rPr>
        <w:t xml:space="preserve"> </w:t>
      </w:r>
    </w:p>
    <w:p w:rsidR="002A3C14" w:rsidRDefault="002A3C14" w:rsidP="002A3C14">
      <w:pPr>
        <w:rPr>
          <w:rFonts w:cs="Arial"/>
          <w:szCs w:val="22"/>
        </w:rPr>
      </w:pPr>
    </w:p>
    <w:p w:rsidR="002A3C14" w:rsidRDefault="002A3C14" w:rsidP="002A3C14">
      <w:pPr>
        <w:rPr>
          <w:rFonts w:cs="Arial"/>
          <w:szCs w:val="22"/>
        </w:rPr>
      </w:pPr>
      <w:r w:rsidRPr="0020363F">
        <w:rPr>
          <w:rFonts w:cs="Arial"/>
          <w:szCs w:val="22"/>
        </w:rPr>
        <w:t xml:space="preserve">All applications must be received by </w:t>
      </w:r>
      <w:r w:rsidRPr="00D061E0">
        <w:rPr>
          <w:rFonts w:cs="Arial"/>
          <w:b/>
          <w:szCs w:val="22"/>
        </w:rPr>
        <w:t>midday</w:t>
      </w:r>
      <w:r w:rsidRPr="0020363F">
        <w:rPr>
          <w:rFonts w:cs="Arial"/>
          <w:szCs w:val="22"/>
        </w:rPr>
        <w:t xml:space="preserve"> on the closing date stated in the online advertisement. </w:t>
      </w:r>
    </w:p>
    <w:p w:rsidR="002A3C14" w:rsidRPr="0020363F" w:rsidRDefault="002A3C14" w:rsidP="002A3C14">
      <w:pPr>
        <w:rPr>
          <w:rFonts w:cs="Arial"/>
          <w:szCs w:val="22"/>
        </w:rPr>
      </w:pPr>
    </w:p>
    <w:p w:rsidR="004250DE" w:rsidRDefault="002A3C14" w:rsidP="002A3C14">
      <w:pPr>
        <w:pStyle w:val="NormalWeb"/>
        <w:rPr>
          <w:sz w:val="22"/>
          <w:szCs w:val="22"/>
        </w:rPr>
      </w:pPr>
      <w:r w:rsidRPr="00BE6286">
        <w:rPr>
          <w:sz w:val="22"/>
          <w:szCs w:val="22"/>
        </w:rPr>
        <w:t xml:space="preserve">Should you experience any difficulties using the online application system, please email </w:t>
      </w:r>
      <w:hyperlink r:id="rId14" w:history="1">
        <w:r w:rsidRPr="00BE6286">
          <w:rPr>
            <w:rStyle w:val="Hyperlink"/>
            <w:rFonts w:cs="Arial"/>
            <w:sz w:val="22"/>
            <w:szCs w:val="22"/>
          </w:rPr>
          <w:t>recruitment.support@admin.ox.ac.uk</w:t>
        </w:r>
      </w:hyperlink>
      <w:r w:rsidRPr="00BE6286">
        <w:rPr>
          <w:sz w:val="22"/>
          <w:szCs w:val="22"/>
        </w:rPr>
        <w:t xml:space="preserve">. </w:t>
      </w:r>
    </w:p>
    <w:p w:rsidR="004250DE" w:rsidRDefault="004250DE" w:rsidP="002A3C14">
      <w:pPr>
        <w:pStyle w:val="NormalWeb"/>
        <w:rPr>
          <w:sz w:val="22"/>
          <w:szCs w:val="22"/>
        </w:rPr>
      </w:pPr>
    </w:p>
    <w:p w:rsidR="002A3C14" w:rsidRPr="00BE6286" w:rsidRDefault="002A3C14" w:rsidP="002A3C14">
      <w:pPr>
        <w:pStyle w:val="NormalWeb"/>
        <w:rPr>
          <w:sz w:val="22"/>
          <w:szCs w:val="22"/>
        </w:rPr>
      </w:pPr>
      <w:r w:rsidRPr="00BE6286">
        <w:rPr>
          <w:sz w:val="22"/>
          <w:szCs w:val="22"/>
        </w:rPr>
        <w:t xml:space="preserve">Further help and support is available from </w:t>
      </w:r>
      <w:hyperlink r:id="rId15" w:history="1">
        <w:r w:rsidRPr="00BE6286">
          <w:rPr>
            <w:rStyle w:val="Hyperlink"/>
            <w:rFonts w:cs="Arial"/>
            <w:sz w:val="22"/>
            <w:szCs w:val="22"/>
          </w:rPr>
          <w:t>www.ox.ac.uk/about_the_university/jobs/support/</w:t>
        </w:r>
      </w:hyperlink>
      <w:r w:rsidRPr="00BE6286">
        <w:rPr>
          <w:sz w:val="22"/>
          <w:szCs w:val="22"/>
        </w:rPr>
        <w:t xml:space="preserve">. To return to the online application at any stage, please </w:t>
      </w:r>
      <w:r w:rsidRPr="00FF11D9">
        <w:rPr>
          <w:sz w:val="22"/>
          <w:szCs w:val="22"/>
        </w:rPr>
        <w:t xml:space="preserve">go to: </w:t>
      </w:r>
      <w:hyperlink r:id="rId16" w:history="1">
        <w:r w:rsidRPr="00FF11D9">
          <w:rPr>
            <w:rStyle w:val="Hyperlink"/>
            <w:rFonts w:cs="Arial"/>
            <w:sz w:val="22"/>
            <w:szCs w:val="22"/>
          </w:rPr>
          <w:t>www.recruit.ox.ac.uk</w:t>
        </w:r>
      </w:hyperlink>
      <w:r w:rsidRPr="00BE6286">
        <w:rPr>
          <w:sz w:val="22"/>
          <w:szCs w:val="22"/>
        </w:rPr>
        <w:t>.</w:t>
      </w:r>
    </w:p>
    <w:p w:rsidR="002A3C14" w:rsidRDefault="002A3C14" w:rsidP="002A3C14">
      <w:pPr>
        <w:pStyle w:val="Default"/>
      </w:pPr>
    </w:p>
    <w:p w:rsidR="002A3C14" w:rsidRPr="00285F7D" w:rsidRDefault="002A3C14" w:rsidP="002A3C14">
      <w:pPr>
        <w:pStyle w:val="Default"/>
        <w:rPr>
          <w:b/>
        </w:rPr>
      </w:pPr>
      <w:r w:rsidRPr="00250752">
        <w:rPr>
          <w:sz w:val="22"/>
          <w:szCs w:val="22"/>
        </w:rPr>
        <w:t xml:space="preserve">Please note that </w:t>
      </w:r>
      <w:r>
        <w:rPr>
          <w:sz w:val="22"/>
          <w:szCs w:val="22"/>
        </w:rPr>
        <w:t xml:space="preserve">you will be notified of the progress of your application by automatic emails from our e-recruitment system. </w:t>
      </w:r>
      <w:r w:rsidRPr="00250752">
        <w:rPr>
          <w:b/>
          <w:sz w:val="22"/>
          <w:szCs w:val="22"/>
        </w:rPr>
        <w:t>Please check your spam/junk mail</w:t>
      </w:r>
      <w:r>
        <w:rPr>
          <w:sz w:val="22"/>
          <w:szCs w:val="22"/>
        </w:rPr>
        <w:t xml:space="preserve"> regularly to ensure that you receive all emails.</w:t>
      </w:r>
      <w:r>
        <w:rPr>
          <w:b/>
        </w:rPr>
        <w:t xml:space="preserve"> </w:t>
      </w:r>
    </w:p>
    <w:p w:rsidR="002A3C14" w:rsidRDefault="002A3C14" w:rsidP="0048577C">
      <w:pPr>
        <w:pStyle w:val="ListParagraph"/>
        <w:tabs>
          <w:tab w:val="clear" w:pos="576"/>
          <w:tab w:val="clear" w:pos="1728"/>
          <w:tab w:val="clear" w:pos="5760"/>
          <w:tab w:val="left" w:pos="567"/>
          <w:tab w:val="left" w:pos="1701"/>
          <w:tab w:val="left" w:pos="5670"/>
          <w:tab w:val="right" w:pos="9356"/>
        </w:tabs>
        <w:suppressAutoHyphens w:val="0"/>
        <w:spacing w:line="240" w:lineRule="auto"/>
        <w:ind w:left="0"/>
        <w:rPr>
          <w:szCs w:val="22"/>
        </w:rPr>
      </w:pPr>
    </w:p>
    <w:p w:rsidR="0048577C" w:rsidRPr="008F69BE" w:rsidRDefault="0048577C" w:rsidP="0048577C">
      <w:pPr>
        <w:pStyle w:val="ListParagraph"/>
        <w:tabs>
          <w:tab w:val="clear" w:pos="576"/>
          <w:tab w:val="clear" w:pos="1728"/>
          <w:tab w:val="clear" w:pos="5760"/>
          <w:tab w:val="left" w:pos="567"/>
          <w:tab w:val="left" w:pos="1701"/>
          <w:tab w:val="left" w:pos="5670"/>
          <w:tab w:val="right" w:pos="9356"/>
        </w:tabs>
        <w:suppressAutoHyphens w:val="0"/>
        <w:spacing w:line="240" w:lineRule="auto"/>
        <w:ind w:left="0"/>
        <w:rPr>
          <w:color w:val="FF0000"/>
          <w:szCs w:val="22"/>
        </w:rPr>
      </w:pPr>
    </w:p>
    <w:p w:rsidR="00E52A6B" w:rsidRPr="00463394" w:rsidRDefault="00E52A6B" w:rsidP="00E52A6B">
      <w:pPr>
        <w:rPr>
          <w:b/>
          <w:szCs w:val="22"/>
        </w:rPr>
      </w:pPr>
      <w:r w:rsidRPr="00463394">
        <w:rPr>
          <w:b/>
          <w:szCs w:val="22"/>
        </w:rPr>
        <w:t>Payment arrangements and Benefits</w:t>
      </w:r>
    </w:p>
    <w:p w:rsidR="00E52A6B" w:rsidRPr="00463394" w:rsidRDefault="00E52A6B" w:rsidP="00E52A6B">
      <w:pPr>
        <w:rPr>
          <w:szCs w:val="22"/>
        </w:rPr>
      </w:pPr>
    </w:p>
    <w:p w:rsidR="00E52A6B" w:rsidRPr="002411A2" w:rsidRDefault="00E52A6B" w:rsidP="00E52A6B">
      <w:pPr>
        <w:autoSpaceDE w:val="0"/>
        <w:autoSpaceDN w:val="0"/>
        <w:adjustRightInd w:val="0"/>
        <w:spacing w:line="240" w:lineRule="auto"/>
        <w:rPr>
          <w:rFonts w:cs="Arial"/>
          <w:szCs w:val="22"/>
        </w:rPr>
      </w:pPr>
      <w:r w:rsidRPr="002411A2">
        <w:rPr>
          <w:rFonts w:cs="Arial"/>
          <w:szCs w:val="22"/>
        </w:rPr>
        <w:t>Fellows are first and foremost registered students of the University. They are also employed</w:t>
      </w:r>
    </w:p>
    <w:p w:rsidR="00E52A6B" w:rsidRPr="002411A2" w:rsidRDefault="00E52A6B" w:rsidP="00E52A6B">
      <w:pPr>
        <w:keepNext/>
        <w:keepLines/>
        <w:spacing w:after="120"/>
        <w:rPr>
          <w:rFonts w:cs="Arial"/>
          <w:b/>
          <w:bCs/>
          <w:szCs w:val="22"/>
        </w:rPr>
      </w:pPr>
      <w:r w:rsidRPr="002411A2">
        <w:rPr>
          <w:rFonts w:cs="Arial"/>
          <w:szCs w:val="22"/>
        </w:rPr>
        <w:t>by the University as workers. However, the student status takes precedence.</w:t>
      </w:r>
    </w:p>
    <w:p w:rsidR="00E52A6B" w:rsidRPr="00E52A6B" w:rsidRDefault="00E52A6B" w:rsidP="00E52A6B">
      <w:pPr>
        <w:tabs>
          <w:tab w:val="left" w:pos="-1008"/>
          <w:tab w:val="left" w:pos="-576"/>
          <w:tab w:val="left" w:pos="0"/>
          <w:tab w:val="left" w:pos="5184"/>
        </w:tabs>
        <w:spacing w:after="120"/>
        <w:rPr>
          <w:rStyle w:val="Ref"/>
          <w:rFonts w:cs="Arial"/>
          <w:color w:val="000000"/>
          <w:szCs w:val="22"/>
        </w:rPr>
      </w:pPr>
      <w:r w:rsidRPr="002411A2">
        <w:rPr>
          <w:rStyle w:val="Ref"/>
          <w:rFonts w:cs="Arial"/>
          <w:szCs w:val="22"/>
        </w:rPr>
        <w:t xml:space="preserve">The total amount allocated for this </w:t>
      </w:r>
      <w:r w:rsidRPr="002411A2">
        <w:rPr>
          <w:rStyle w:val="Ref"/>
          <w:rFonts w:cs="Arial"/>
          <w:i/>
          <w:szCs w:val="22"/>
        </w:rPr>
        <w:t>Fellowship</w:t>
      </w:r>
      <w:r w:rsidRPr="002411A2">
        <w:rPr>
          <w:rStyle w:val="Ref"/>
          <w:rFonts w:cs="Arial"/>
          <w:szCs w:val="22"/>
        </w:rPr>
        <w:t xml:space="preserve"> (based on 36 months) under the </w:t>
      </w:r>
      <w:r w:rsidRPr="002411A2">
        <w:rPr>
          <w:rStyle w:val="Ref"/>
          <w:rFonts w:cs="Arial"/>
          <w:i/>
          <w:szCs w:val="22"/>
        </w:rPr>
        <w:t>EC Grant Agreement</w:t>
      </w:r>
      <w:r w:rsidRPr="002411A2">
        <w:rPr>
          <w:rStyle w:val="Ref"/>
          <w:rFonts w:cs="Arial"/>
          <w:szCs w:val="22"/>
        </w:rPr>
        <w:t xml:space="preserve"> is € </w:t>
      </w:r>
      <w:r w:rsidRPr="00E52A6B">
        <w:rPr>
          <w:rStyle w:val="Ref"/>
          <w:rFonts w:cs="Arial"/>
          <w:color w:val="000000"/>
          <w:szCs w:val="22"/>
        </w:rPr>
        <w:t xml:space="preserve">156,287.88 (€165,287.88 if eligible for the Family allowance). </w:t>
      </w:r>
      <w:r w:rsidRPr="002411A2">
        <w:rPr>
          <w:rFonts w:cs="Arial"/>
          <w:szCs w:val="22"/>
        </w:rPr>
        <w:t xml:space="preserve">The financial award is composed of a number of fixed allowances. Allowance eligibility depends on the personal circumstances of the fellow:   </w:t>
      </w:r>
    </w:p>
    <w:p w:rsidR="00E52A6B" w:rsidRPr="00E52A6B" w:rsidRDefault="00E52A6B" w:rsidP="00E52A6B">
      <w:pPr>
        <w:tabs>
          <w:tab w:val="left" w:pos="-1008"/>
          <w:tab w:val="left" w:pos="-576"/>
          <w:tab w:val="left" w:pos="5184"/>
        </w:tabs>
        <w:spacing w:after="120"/>
        <w:ind w:left="284"/>
        <w:rPr>
          <w:rStyle w:val="Ref"/>
          <w:rFonts w:cs="Arial"/>
          <w:color w:val="000000"/>
          <w:szCs w:val="22"/>
        </w:rPr>
      </w:pPr>
      <w:r w:rsidRPr="00E52A6B">
        <w:rPr>
          <w:rStyle w:val="Ref"/>
          <w:rFonts w:cs="Arial"/>
          <w:i/>
          <w:color w:val="000000"/>
          <w:szCs w:val="22"/>
        </w:rPr>
        <w:t>Living Allowance</w:t>
      </w:r>
      <w:r w:rsidRPr="00E52A6B">
        <w:rPr>
          <w:rStyle w:val="Ref"/>
          <w:rFonts w:cs="Arial"/>
          <w:color w:val="000000"/>
          <w:szCs w:val="22"/>
        </w:rPr>
        <w:t>: total amount € 44,895.96 per year. This figure is inclusive of the UK country coefficient of 120.3%.</w:t>
      </w:r>
    </w:p>
    <w:p w:rsidR="00E52A6B" w:rsidRPr="00E52A6B" w:rsidRDefault="00E52A6B" w:rsidP="00E52A6B">
      <w:pPr>
        <w:tabs>
          <w:tab w:val="left" w:pos="-1008"/>
          <w:tab w:val="left" w:pos="-576"/>
          <w:tab w:val="left" w:pos="5184"/>
        </w:tabs>
        <w:spacing w:after="120"/>
        <w:ind w:left="284"/>
        <w:rPr>
          <w:rStyle w:val="Ref"/>
          <w:rFonts w:cs="Arial"/>
          <w:color w:val="000000"/>
          <w:szCs w:val="22"/>
        </w:rPr>
      </w:pPr>
      <w:r w:rsidRPr="00E52A6B">
        <w:rPr>
          <w:rStyle w:val="Ref"/>
          <w:rFonts w:cs="Arial"/>
          <w:i/>
          <w:color w:val="000000"/>
          <w:szCs w:val="22"/>
        </w:rPr>
        <w:t>Mobility Allowance</w:t>
      </w:r>
      <w:r w:rsidRPr="00E52A6B">
        <w:rPr>
          <w:rStyle w:val="Ref"/>
          <w:rFonts w:cs="Arial"/>
          <w:color w:val="000000"/>
          <w:szCs w:val="22"/>
        </w:rPr>
        <w:t>: total amount € 7,200 per year.</w:t>
      </w:r>
    </w:p>
    <w:p w:rsidR="00E52A6B" w:rsidRPr="00E52A6B" w:rsidRDefault="00E52A6B" w:rsidP="00E52A6B">
      <w:pPr>
        <w:tabs>
          <w:tab w:val="left" w:pos="-1008"/>
          <w:tab w:val="left" w:pos="-576"/>
          <w:tab w:val="left" w:pos="5184"/>
        </w:tabs>
        <w:spacing w:after="120"/>
        <w:ind w:left="284"/>
        <w:rPr>
          <w:rFonts w:cs="Arial"/>
          <w:color w:val="000000"/>
          <w:szCs w:val="22"/>
        </w:rPr>
      </w:pPr>
      <w:r w:rsidRPr="00E52A6B">
        <w:rPr>
          <w:rFonts w:cs="Arial"/>
          <w:i/>
          <w:color w:val="000000"/>
          <w:szCs w:val="22"/>
        </w:rPr>
        <w:t>Family allowance</w:t>
      </w:r>
      <w:r w:rsidRPr="00E52A6B">
        <w:rPr>
          <w:rFonts w:cs="Arial"/>
          <w:color w:val="000000"/>
          <w:szCs w:val="22"/>
        </w:rPr>
        <w:t>: total amount €</w:t>
      </w:r>
      <w:r w:rsidRPr="00E52A6B">
        <w:rPr>
          <w:rStyle w:val="Ref"/>
          <w:rFonts w:cs="Arial"/>
          <w:color w:val="000000"/>
          <w:szCs w:val="22"/>
        </w:rPr>
        <w:t xml:space="preserve"> 3,000</w:t>
      </w:r>
      <w:r w:rsidRPr="00E52A6B">
        <w:rPr>
          <w:rFonts w:cs="Arial"/>
          <w:color w:val="000000"/>
          <w:szCs w:val="22"/>
        </w:rPr>
        <w:t xml:space="preserve"> per year (eligibility depends on supporting evidence that at the time the fellowship starts the fellow is </w:t>
      </w:r>
      <w:r w:rsidRPr="002411A2">
        <w:rPr>
          <w:rFonts w:cs="Arial"/>
          <w:color w:val="000000"/>
          <w:szCs w:val="22"/>
        </w:rPr>
        <w:t>married, in a partnership equivalent to marriage in the country it was formalised or have dependent children ).</w:t>
      </w:r>
    </w:p>
    <w:p w:rsidR="00E52A6B" w:rsidRPr="002411A2" w:rsidRDefault="00E52A6B" w:rsidP="00E52A6B">
      <w:pPr>
        <w:tabs>
          <w:tab w:val="left" w:pos="-1008"/>
          <w:tab w:val="left" w:pos="-576"/>
          <w:tab w:val="left" w:pos="0"/>
          <w:tab w:val="left" w:pos="5184"/>
        </w:tabs>
        <w:spacing w:after="120"/>
        <w:rPr>
          <w:rFonts w:cs="Arial"/>
          <w:szCs w:val="22"/>
        </w:rPr>
      </w:pPr>
      <w:r w:rsidRPr="002411A2">
        <w:rPr>
          <w:rFonts w:cs="Arial"/>
          <w:szCs w:val="22"/>
        </w:rPr>
        <w:t xml:space="preserve">Eligibility for and amounts of these allowances </w:t>
      </w:r>
      <w:r w:rsidRPr="002411A2">
        <w:rPr>
          <w:rStyle w:val="Ref"/>
          <w:rFonts w:cs="Arial"/>
          <w:szCs w:val="22"/>
        </w:rPr>
        <w:t xml:space="preserve">are fixed under the terms of the </w:t>
      </w:r>
      <w:r w:rsidRPr="002411A2">
        <w:rPr>
          <w:rStyle w:val="Ref"/>
          <w:rFonts w:cs="Arial"/>
          <w:i/>
          <w:szCs w:val="22"/>
        </w:rPr>
        <w:t>EC Grant Agreement</w:t>
      </w:r>
      <w:r w:rsidRPr="002411A2">
        <w:rPr>
          <w:rStyle w:val="Ref"/>
          <w:rFonts w:cs="Arial"/>
          <w:szCs w:val="22"/>
        </w:rPr>
        <w:t xml:space="preserve"> for the duration of the Fellowship.  </w:t>
      </w:r>
      <w:r w:rsidRPr="002411A2">
        <w:rPr>
          <w:rFonts w:cs="Arial"/>
          <w:szCs w:val="22"/>
        </w:rPr>
        <w:t xml:space="preserve"> </w:t>
      </w:r>
    </w:p>
    <w:p w:rsidR="00E52A6B" w:rsidRPr="002411A2" w:rsidRDefault="00E52A6B" w:rsidP="00E52A6B">
      <w:pPr>
        <w:tabs>
          <w:tab w:val="left" w:pos="-1008"/>
          <w:tab w:val="left" w:pos="-576"/>
          <w:tab w:val="left" w:pos="0"/>
          <w:tab w:val="left" w:pos="5184"/>
        </w:tabs>
        <w:spacing w:after="120"/>
        <w:rPr>
          <w:rFonts w:cs="Arial"/>
          <w:szCs w:val="22"/>
        </w:rPr>
      </w:pPr>
      <w:r w:rsidRPr="002411A2">
        <w:rPr>
          <w:rStyle w:val="Ref"/>
          <w:rFonts w:cs="Arial"/>
          <w:szCs w:val="22"/>
        </w:rPr>
        <w:t xml:space="preserve">The fellow’s gross remuneration is derived from the sum of the Living and Mobility allowances (and the </w:t>
      </w:r>
      <w:r w:rsidRPr="00E52A6B">
        <w:rPr>
          <w:rStyle w:val="Ref"/>
          <w:rFonts w:cs="Arial"/>
          <w:color w:val="000000"/>
          <w:szCs w:val="22"/>
        </w:rPr>
        <w:t>Family allowance, if</w:t>
      </w:r>
      <w:r w:rsidRPr="00E52A6B">
        <w:rPr>
          <w:rStyle w:val="Ref"/>
          <w:rFonts w:cs="Arial"/>
          <w:i/>
          <w:color w:val="000000"/>
          <w:szCs w:val="22"/>
        </w:rPr>
        <w:t xml:space="preserve"> </w:t>
      </w:r>
      <w:r w:rsidRPr="00E52A6B">
        <w:rPr>
          <w:rStyle w:val="Ref"/>
          <w:rFonts w:cs="Arial"/>
          <w:color w:val="000000"/>
          <w:szCs w:val="22"/>
        </w:rPr>
        <w:t>applicable). However, please note that these gross</w:t>
      </w:r>
      <w:r w:rsidRPr="002411A2">
        <w:rPr>
          <w:rFonts w:cs="Arial"/>
          <w:szCs w:val="22"/>
        </w:rPr>
        <w:t xml:space="preserve"> amounts are subject to compulsory employer </w:t>
      </w:r>
      <w:r w:rsidRPr="002411A2">
        <w:rPr>
          <w:rFonts w:cs="Arial"/>
          <w:b/>
          <w:szCs w:val="22"/>
        </w:rPr>
        <w:t>and</w:t>
      </w:r>
      <w:r w:rsidRPr="002411A2">
        <w:rPr>
          <w:rFonts w:cs="Arial"/>
          <w:szCs w:val="22"/>
        </w:rPr>
        <w:t xml:space="preserve"> employee deductions, currently:</w:t>
      </w:r>
    </w:p>
    <w:p w:rsidR="00E52A6B" w:rsidRPr="002411A2" w:rsidRDefault="00E52A6B" w:rsidP="00E52A6B">
      <w:pPr>
        <w:pStyle w:val="ListParagraph"/>
        <w:numPr>
          <w:ilvl w:val="0"/>
          <w:numId w:val="10"/>
        </w:numPr>
        <w:tabs>
          <w:tab w:val="clear" w:pos="576"/>
          <w:tab w:val="clear" w:pos="1152"/>
          <w:tab w:val="clear" w:pos="1728"/>
          <w:tab w:val="clear" w:pos="5760"/>
        </w:tabs>
        <w:suppressAutoHyphens w:val="0"/>
        <w:spacing w:line="276" w:lineRule="auto"/>
        <w:ind w:left="993"/>
        <w:rPr>
          <w:rFonts w:cs="Arial"/>
          <w:szCs w:val="22"/>
        </w:rPr>
      </w:pPr>
      <w:r w:rsidRPr="002411A2">
        <w:rPr>
          <w:rFonts w:cs="Arial"/>
          <w:szCs w:val="22"/>
        </w:rPr>
        <w:t xml:space="preserve">statutory employer </w:t>
      </w:r>
      <w:r w:rsidRPr="002411A2">
        <w:rPr>
          <w:rFonts w:cs="Arial"/>
          <w:b/>
          <w:szCs w:val="22"/>
        </w:rPr>
        <w:t>and</w:t>
      </w:r>
      <w:r w:rsidRPr="002411A2">
        <w:rPr>
          <w:rFonts w:cs="Arial"/>
          <w:szCs w:val="22"/>
        </w:rPr>
        <w:t xml:space="preserve"> employee National Insurance contributions; </w:t>
      </w:r>
    </w:p>
    <w:p w:rsidR="00E52A6B" w:rsidRPr="002411A2" w:rsidRDefault="00E52A6B" w:rsidP="00E52A6B">
      <w:pPr>
        <w:pStyle w:val="ListParagraph"/>
        <w:numPr>
          <w:ilvl w:val="0"/>
          <w:numId w:val="10"/>
        </w:numPr>
        <w:tabs>
          <w:tab w:val="clear" w:pos="576"/>
          <w:tab w:val="clear" w:pos="1152"/>
          <w:tab w:val="clear" w:pos="1728"/>
          <w:tab w:val="clear" w:pos="5760"/>
        </w:tabs>
        <w:suppressAutoHyphens w:val="0"/>
        <w:spacing w:line="276" w:lineRule="auto"/>
        <w:ind w:left="993"/>
        <w:rPr>
          <w:rFonts w:cs="Arial"/>
          <w:szCs w:val="22"/>
        </w:rPr>
      </w:pPr>
      <w:r w:rsidRPr="002411A2">
        <w:rPr>
          <w:rFonts w:cs="Arial"/>
          <w:szCs w:val="22"/>
        </w:rPr>
        <w:t xml:space="preserve">statutory employee income tax deductions: and </w:t>
      </w:r>
    </w:p>
    <w:p w:rsidR="00E52A6B" w:rsidRPr="002411A2" w:rsidRDefault="00E52A6B" w:rsidP="00E52A6B">
      <w:pPr>
        <w:pStyle w:val="ListParagraph"/>
        <w:numPr>
          <w:ilvl w:val="0"/>
          <w:numId w:val="10"/>
        </w:numPr>
        <w:tabs>
          <w:tab w:val="clear" w:pos="576"/>
          <w:tab w:val="clear" w:pos="1152"/>
          <w:tab w:val="clear" w:pos="1728"/>
          <w:tab w:val="clear" w:pos="5760"/>
        </w:tabs>
        <w:suppressAutoHyphens w:val="0"/>
        <w:spacing w:line="276" w:lineRule="auto"/>
        <w:ind w:left="993"/>
        <w:rPr>
          <w:rFonts w:cs="Arial"/>
          <w:iCs/>
          <w:szCs w:val="22"/>
        </w:rPr>
      </w:pPr>
      <w:r w:rsidRPr="002411A2">
        <w:rPr>
          <w:rFonts w:cs="Arial"/>
          <w:szCs w:val="22"/>
        </w:rPr>
        <w:t xml:space="preserve">employer and employee superannuation (pension) contributions. </w:t>
      </w:r>
    </w:p>
    <w:p w:rsidR="00E52A6B" w:rsidRPr="00463394" w:rsidRDefault="00E52A6B" w:rsidP="00E52A6B">
      <w:pPr>
        <w:rPr>
          <w:rStyle w:val="Ref"/>
          <w:rFonts w:cs="Arial"/>
          <w:szCs w:val="22"/>
        </w:rPr>
      </w:pPr>
      <w:r w:rsidRPr="00463394">
        <w:rPr>
          <w:rStyle w:val="Ref"/>
          <w:szCs w:val="22"/>
        </w:rPr>
        <w:t xml:space="preserve"> </w:t>
      </w:r>
    </w:p>
    <w:p w:rsidR="00E52A6B" w:rsidRPr="00E52A6B" w:rsidRDefault="00E52A6B" w:rsidP="00E52A6B">
      <w:pPr>
        <w:pStyle w:val="FootnoteText"/>
        <w:spacing w:after="0" w:line="240" w:lineRule="auto"/>
        <w:ind w:firstLine="0"/>
        <w:rPr>
          <w:rFonts w:ascii="Arial" w:eastAsia="Calibri" w:hAnsi="Arial" w:cs="Arial"/>
          <w:sz w:val="22"/>
          <w:szCs w:val="22"/>
        </w:rPr>
      </w:pPr>
      <w:r w:rsidRPr="00E52A6B">
        <w:rPr>
          <w:rFonts w:ascii="Arial" w:eastAsia="Calibri" w:hAnsi="Arial" w:cs="Arial"/>
          <w:sz w:val="22"/>
          <w:szCs w:val="22"/>
        </w:rPr>
        <w:t xml:space="preserve">All payments are made monthly in arrears in Pounds Sterling, including during any secondment periods outside of Oxford. The exchange rate used will be the University of Oxford’s rate </w:t>
      </w:r>
      <w:r w:rsidRPr="00E52A6B">
        <w:rPr>
          <w:rFonts w:ascii="Arial" w:eastAsia="Calibri" w:hAnsi="Arial" w:cs="Arial"/>
          <w:sz w:val="22"/>
          <w:szCs w:val="22"/>
          <w:lang w:val="en-GB"/>
        </w:rPr>
        <w:t xml:space="preserve">applicable to the ITN project; </w:t>
      </w:r>
      <w:r w:rsidRPr="00E52A6B">
        <w:rPr>
          <w:rFonts w:ascii="Arial" w:eastAsia="Calibri" w:hAnsi="Arial" w:cs="Arial"/>
          <w:sz w:val="22"/>
          <w:szCs w:val="22"/>
        </w:rPr>
        <w:t>the exchange rate may be subject to variation throughout the period of the award.</w:t>
      </w:r>
    </w:p>
    <w:p w:rsidR="00E52A6B" w:rsidRPr="00463394" w:rsidRDefault="00E52A6B" w:rsidP="00E52A6B">
      <w:pPr>
        <w:autoSpaceDE w:val="0"/>
        <w:autoSpaceDN w:val="0"/>
        <w:adjustRightInd w:val="0"/>
        <w:spacing w:line="240" w:lineRule="auto"/>
        <w:rPr>
          <w:rFonts w:cs="Arial"/>
          <w:color w:val="000000"/>
          <w:szCs w:val="22"/>
        </w:rPr>
      </w:pPr>
    </w:p>
    <w:p w:rsidR="00E52A6B" w:rsidRPr="00463394" w:rsidRDefault="00E52A6B" w:rsidP="00E52A6B">
      <w:pPr>
        <w:autoSpaceDE w:val="0"/>
        <w:autoSpaceDN w:val="0"/>
        <w:adjustRightInd w:val="0"/>
        <w:spacing w:line="240" w:lineRule="auto"/>
        <w:rPr>
          <w:rFonts w:cs="Arial"/>
          <w:color w:val="000000"/>
          <w:szCs w:val="22"/>
        </w:rPr>
      </w:pPr>
      <w:r w:rsidRPr="00463394">
        <w:rPr>
          <w:rFonts w:cs="Arial"/>
          <w:color w:val="000000"/>
          <w:szCs w:val="22"/>
        </w:rPr>
        <w:t xml:space="preserve">Due to the EC’s requirements fellows are paid at a rate of unit cost allowances as set by the EC rather than according to the University’s normal employment terms, and the fellowships therefore carry only statutory employment entitlements, i.e. 28 days paid holiday (including bank holidays), statutory sick pay and statutory family (i.e. maternity, paternity, shared parental) leave and pay entitlements. </w:t>
      </w:r>
    </w:p>
    <w:p w:rsidR="00E52A6B" w:rsidRPr="00463394" w:rsidRDefault="00E52A6B" w:rsidP="00E52A6B">
      <w:pPr>
        <w:autoSpaceDE w:val="0"/>
        <w:autoSpaceDN w:val="0"/>
        <w:adjustRightInd w:val="0"/>
        <w:spacing w:line="240" w:lineRule="auto"/>
        <w:rPr>
          <w:rFonts w:cs="Arial"/>
          <w:color w:val="000000"/>
          <w:szCs w:val="22"/>
        </w:rPr>
      </w:pPr>
    </w:p>
    <w:p w:rsidR="00E52A6B" w:rsidRPr="00463394" w:rsidRDefault="00E52A6B" w:rsidP="00E52A6B">
      <w:pPr>
        <w:autoSpaceDE w:val="0"/>
        <w:autoSpaceDN w:val="0"/>
        <w:adjustRightInd w:val="0"/>
        <w:spacing w:line="240" w:lineRule="auto"/>
        <w:rPr>
          <w:rFonts w:cs="Arial"/>
          <w:color w:val="000000"/>
          <w:szCs w:val="22"/>
        </w:rPr>
      </w:pPr>
      <w:r w:rsidRPr="00463394">
        <w:rPr>
          <w:rFonts w:cs="Arial"/>
          <w:color w:val="000000"/>
          <w:szCs w:val="22"/>
        </w:rPr>
        <w:t>The fellows are not eligible for the University’s own contractual sickness or family leave</w:t>
      </w:r>
    </w:p>
    <w:p w:rsidR="00E52A6B" w:rsidRPr="00463394" w:rsidRDefault="004250DE" w:rsidP="00E52A6B">
      <w:pPr>
        <w:autoSpaceDE w:val="0"/>
        <w:autoSpaceDN w:val="0"/>
        <w:adjustRightInd w:val="0"/>
        <w:spacing w:line="240" w:lineRule="auto"/>
        <w:rPr>
          <w:rFonts w:cs="Arial"/>
          <w:color w:val="000000"/>
          <w:szCs w:val="22"/>
        </w:rPr>
      </w:pPr>
      <w:r>
        <w:rPr>
          <w:rFonts w:cs="Arial"/>
          <w:color w:val="000000"/>
          <w:szCs w:val="22"/>
        </w:rPr>
        <w:t>Schemes.</w:t>
      </w:r>
    </w:p>
    <w:p w:rsidR="00E52A6B" w:rsidRPr="00463394" w:rsidRDefault="00E52A6B" w:rsidP="00E52A6B">
      <w:pPr>
        <w:autoSpaceDE w:val="0"/>
        <w:autoSpaceDN w:val="0"/>
        <w:adjustRightInd w:val="0"/>
        <w:spacing w:line="240" w:lineRule="auto"/>
        <w:rPr>
          <w:rFonts w:cs="Arial"/>
          <w:color w:val="000000"/>
          <w:szCs w:val="22"/>
        </w:rPr>
      </w:pPr>
    </w:p>
    <w:p w:rsidR="00E52A6B" w:rsidRPr="00463394" w:rsidRDefault="00E52A6B" w:rsidP="00E52A6B">
      <w:pPr>
        <w:autoSpaceDE w:val="0"/>
        <w:autoSpaceDN w:val="0"/>
        <w:adjustRightInd w:val="0"/>
        <w:spacing w:line="240" w:lineRule="auto"/>
        <w:rPr>
          <w:szCs w:val="22"/>
        </w:rPr>
      </w:pPr>
      <w:r w:rsidRPr="00463394">
        <w:rPr>
          <w:rFonts w:cs="Arial"/>
          <w:color w:val="000000"/>
          <w:szCs w:val="22"/>
        </w:rPr>
        <w:t xml:space="preserve">Fellows will be automatically enrolled into the University Superannuation Scheme (USS) – and both employer and employee deductions will be made from the total amount awarded. For further information see </w:t>
      </w:r>
      <w:r w:rsidRPr="00463394">
        <w:rPr>
          <w:rFonts w:cs="Arial"/>
          <w:color w:val="0000FF"/>
          <w:szCs w:val="22"/>
        </w:rPr>
        <w:t>http://www.admin.ox.ac.uk/finance/pensions/uss/</w:t>
      </w:r>
      <w:r w:rsidRPr="00463394">
        <w:rPr>
          <w:rFonts w:cs="Arial"/>
          <w:color w:val="000000"/>
          <w:szCs w:val="22"/>
        </w:rPr>
        <w:t>.</w:t>
      </w:r>
    </w:p>
    <w:p w:rsidR="00E52A6B" w:rsidRPr="00463394" w:rsidRDefault="00E52A6B" w:rsidP="00E52A6B">
      <w:pPr>
        <w:keepNext/>
        <w:keepLines/>
        <w:spacing w:before="80"/>
        <w:outlineLvl w:val="2"/>
        <w:rPr>
          <w:rFonts w:cs="Arial"/>
          <w:b/>
          <w:bCs/>
          <w:szCs w:val="22"/>
        </w:rPr>
      </w:pPr>
    </w:p>
    <w:p w:rsidR="00E52A6B" w:rsidRPr="00463394" w:rsidRDefault="00E52A6B" w:rsidP="004250DE">
      <w:pPr>
        <w:keepNext/>
        <w:keepLines/>
        <w:spacing w:before="80" w:after="160"/>
        <w:outlineLvl w:val="2"/>
        <w:rPr>
          <w:rFonts w:cs="Arial"/>
          <w:b/>
          <w:bCs/>
          <w:szCs w:val="22"/>
        </w:rPr>
      </w:pPr>
      <w:r w:rsidRPr="00463394">
        <w:rPr>
          <w:rFonts w:cs="Arial"/>
          <w:b/>
          <w:bCs/>
          <w:szCs w:val="22"/>
        </w:rPr>
        <w:t xml:space="preserve">About the University of Oxford </w:t>
      </w:r>
    </w:p>
    <w:p w:rsidR="00E52A6B" w:rsidRPr="00E23F88" w:rsidRDefault="00E52A6B" w:rsidP="00E52A6B">
      <w:pPr>
        <w:rPr>
          <w:rFonts w:cs="Arial"/>
        </w:rPr>
      </w:pPr>
      <w:r w:rsidRPr="00E23F88">
        <w:rPr>
          <w:rFonts w:cs="Arial"/>
        </w:rPr>
        <w:t>Welcome to the University of Oxford. We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rsidR="00E52A6B" w:rsidRPr="00E23F88" w:rsidRDefault="00E52A6B" w:rsidP="00E52A6B">
      <w:pPr>
        <w:rPr>
          <w:rFonts w:cs="Arial"/>
        </w:rPr>
      </w:pPr>
    </w:p>
    <w:p w:rsidR="00E52A6B" w:rsidRPr="00E23F88" w:rsidRDefault="00E52A6B" w:rsidP="00E52A6B">
      <w:pPr>
        <w:rPr>
          <w:rFonts w:cs="Arial"/>
        </w:rPr>
      </w:pPr>
      <w:r w:rsidRPr="00E23F88">
        <w:rPr>
          <w:rFonts w:cs="Arial"/>
        </w:rPr>
        <w:t>We believe our strengths lie both in empowering individuals and teams to address fundamental questions of global significance, while providing all our staff with a welcoming and inclusive workplace that enables everyone to develop and do their best work. Recognising that diversity is our strength, vital for innovation and creativity, we aspire to build a truly diverse community which values and respect’s every individual’s unique contribution.</w:t>
      </w:r>
    </w:p>
    <w:p w:rsidR="00E52A6B" w:rsidRPr="00E23F88" w:rsidRDefault="00E52A6B" w:rsidP="00E52A6B">
      <w:pPr>
        <w:rPr>
          <w:rFonts w:cs="Arial"/>
        </w:rPr>
      </w:pPr>
    </w:p>
    <w:p w:rsidR="00E52A6B" w:rsidRPr="00E23F88" w:rsidRDefault="00E52A6B" w:rsidP="00E52A6B">
      <w:pPr>
        <w:rPr>
          <w:rFonts w:cs="Arial"/>
        </w:rPr>
      </w:pPr>
      <w:r w:rsidRPr="00E23F88">
        <w:rPr>
          <w:rFonts w:cs="Arial"/>
        </w:rPr>
        <w:t>While we have long traditions of scholarship, we are also forward-looking, creative and cutting-edge. Oxford is one of Europe's most entrepreneurial universities. Income from external research contracts in 2014/15 exceeded £522.9m and we rank first in the UK for university spin-outs, with more than 130 companies created to date. We are also recognised as leaders in support for social enterprise.</w:t>
      </w:r>
    </w:p>
    <w:p w:rsidR="00E52A6B" w:rsidRPr="00E23F88" w:rsidRDefault="00E52A6B" w:rsidP="00E52A6B">
      <w:pPr>
        <w:rPr>
          <w:rFonts w:cs="Arial"/>
        </w:rPr>
      </w:pPr>
    </w:p>
    <w:p w:rsidR="00E52A6B" w:rsidRPr="00E23F88" w:rsidRDefault="00E52A6B" w:rsidP="004250DE">
      <w:pPr>
        <w:spacing w:after="120"/>
        <w:rPr>
          <w:rFonts w:cs="Arial"/>
        </w:rPr>
      </w:pPr>
      <w:r w:rsidRPr="00E23F88">
        <w:rPr>
          <w:rFonts w:cs="Arial"/>
        </w:rPr>
        <w:t xml:space="preserve">Join us and you will find a unique, democratic and international community, a great range of staff benefits and access to a vibrant array of cultural activities in the beautiful city of Oxford.  </w:t>
      </w:r>
    </w:p>
    <w:p w:rsidR="00E52A6B" w:rsidRPr="00E23F88" w:rsidRDefault="00E52A6B" w:rsidP="00E52A6B">
      <w:pPr>
        <w:rPr>
          <w:rFonts w:cs="Arial"/>
        </w:rPr>
      </w:pPr>
      <w:r w:rsidRPr="00E23F88">
        <w:rPr>
          <w:rFonts w:cs="Arial"/>
        </w:rPr>
        <w:t xml:space="preserve">For more information please visit </w:t>
      </w:r>
      <w:hyperlink r:id="rId17" w:history="1">
        <w:r w:rsidRPr="00E23F88">
          <w:rPr>
            <w:rFonts w:cs="Arial"/>
            <w:color w:val="0000FF"/>
            <w:u w:val="single"/>
          </w:rPr>
          <w:t>www.ox.ac.uk/about/organisation</w:t>
        </w:r>
      </w:hyperlink>
      <w:r w:rsidRPr="00E23F88">
        <w:rPr>
          <w:rFonts w:cs="Arial"/>
        </w:rPr>
        <w:t xml:space="preserve">  </w:t>
      </w:r>
    </w:p>
    <w:p w:rsidR="00E52A6B" w:rsidRPr="00E23F88" w:rsidRDefault="00E52A6B" w:rsidP="00E52A6B">
      <w:pPr>
        <w:keepNext/>
        <w:keepLines/>
        <w:outlineLvl w:val="2"/>
        <w:rPr>
          <w:rFonts w:cs="Arial"/>
          <w:b/>
        </w:rPr>
      </w:pPr>
    </w:p>
    <w:p w:rsidR="00E52A6B" w:rsidRPr="00E23F88" w:rsidRDefault="00E52A6B" w:rsidP="004250DE">
      <w:pPr>
        <w:keepNext/>
        <w:keepLines/>
        <w:spacing w:before="160" w:after="160"/>
        <w:outlineLvl w:val="2"/>
        <w:rPr>
          <w:rFonts w:cs="Arial"/>
          <w:b/>
        </w:rPr>
      </w:pPr>
      <w:r w:rsidRPr="00E23F88">
        <w:rPr>
          <w:rFonts w:cs="Arial"/>
          <w:b/>
        </w:rPr>
        <w:t xml:space="preserve">Department of Experimental Psychology </w:t>
      </w:r>
    </w:p>
    <w:p w:rsidR="00E52A6B" w:rsidRPr="00E23F88" w:rsidRDefault="00E52A6B" w:rsidP="00E52A6B">
      <w:pPr>
        <w:tabs>
          <w:tab w:val="left" w:pos="1701"/>
          <w:tab w:val="left" w:pos="5670"/>
          <w:tab w:val="right" w:pos="9072"/>
        </w:tabs>
        <w:spacing w:after="240"/>
        <w:rPr>
          <w:rFonts w:cs="Arial"/>
        </w:rPr>
      </w:pPr>
      <w:r w:rsidRPr="00E23F88">
        <w:rPr>
          <w:rFonts w:cs="Arial"/>
          <w:lang w:val="en"/>
        </w:rPr>
        <w:t>The Department of Experimental Psychology at Oxford was founded in 1898 and has a long and prestigious history and is fortunate to be home to a number of current world-leading research groups, and continues to be among the top-ranked Psychology departments worldwide.</w:t>
      </w:r>
    </w:p>
    <w:p w:rsidR="00E52A6B" w:rsidRPr="00E23F88" w:rsidRDefault="00E52A6B" w:rsidP="00E52A6B">
      <w:pPr>
        <w:tabs>
          <w:tab w:val="left" w:pos="1701"/>
          <w:tab w:val="left" w:pos="5670"/>
          <w:tab w:val="right" w:pos="9072"/>
        </w:tabs>
        <w:spacing w:after="240"/>
        <w:rPr>
          <w:rFonts w:cs="Arial"/>
        </w:rPr>
      </w:pPr>
      <w:r w:rsidRPr="00E23F88">
        <w:rPr>
          <w:rFonts w:cs="Arial"/>
        </w:rPr>
        <w:t xml:space="preserve">In the 2014 Research Excellence Framework (REF) Exercise the Psychology, Neuroscience and Psychiatry REF submission from Oxford was ranked as first in the UK. Departmental turnover for 16/17 was in excess of £16.5 million. </w:t>
      </w:r>
      <w:r w:rsidRPr="00E23F88" w:rsidDel="008571A3">
        <w:rPr>
          <w:rFonts w:cs="Arial"/>
        </w:rPr>
        <w:t xml:space="preserve"> </w:t>
      </w:r>
      <w:r w:rsidRPr="00E23F88">
        <w:rPr>
          <w:rFonts w:cs="Arial"/>
        </w:rPr>
        <w:t xml:space="preserve">Research in the Department is organised into 4 research groupings: Behavioural Neuroscience / Cognitive Neuroscience / Developmental Psychology / Social Psychology &amp; Psychological Disorders. </w:t>
      </w:r>
    </w:p>
    <w:p w:rsidR="00E52A6B" w:rsidRPr="00E23F88" w:rsidRDefault="00E52A6B" w:rsidP="00E52A6B">
      <w:pPr>
        <w:tabs>
          <w:tab w:val="left" w:pos="1701"/>
          <w:tab w:val="left" w:pos="5670"/>
          <w:tab w:val="right" w:pos="9072"/>
        </w:tabs>
        <w:spacing w:after="240"/>
        <w:rPr>
          <w:rFonts w:cs="Arial"/>
        </w:rPr>
      </w:pPr>
      <w:r w:rsidRPr="00E23F88">
        <w:rPr>
          <w:rFonts w:cs="Arial"/>
        </w:rPr>
        <w:t xml:space="preserve">In 2011 and 2012 two new clinical research centres were created – the Oxford Centre for Anxiety Disorders and Trauma (OXCADAT) and the Oxford Cognitive Neuropsychology Centre (CNC) providing facilities for assessment and treatment of patients in </w:t>
      </w:r>
      <w:r w:rsidRPr="00E23F88">
        <w:rPr>
          <w:rFonts w:cs="Arial"/>
          <w:lang w:val="en"/>
        </w:rPr>
        <w:t>conjunction with multimodal brain imaging.</w:t>
      </w:r>
      <w:r w:rsidRPr="00E23F88">
        <w:rPr>
          <w:rFonts w:cs="Arial"/>
        </w:rPr>
        <w:t xml:space="preserve"> The new centres form part of a new NIHR Clinical Research Facility in Oxford Cognitive Health. </w:t>
      </w:r>
    </w:p>
    <w:p w:rsidR="00E52A6B" w:rsidRPr="00E23F88" w:rsidRDefault="00E52A6B" w:rsidP="00E52A6B">
      <w:pPr>
        <w:tabs>
          <w:tab w:val="left" w:pos="1701"/>
          <w:tab w:val="left" w:pos="5670"/>
          <w:tab w:val="right" w:pos="9072"/>
        </w:tabs>
        <w:spacing w:after="240"/>
        <w:rPr>
          <w:rFonts w:cs="Arial"/>
          <w:lang w:val="en"/>
        </w:rPr>
      </w:pPr>
      <w:r w:rsidRPr="00E23F88">
        <w:rPr>
          <w:rFonts w:cs="Arial"/>
          <w:lang w:val="en"/>
        </w:rPr>
        <w:t xml:space="preserve">Our research benefits from strong links with other University departments and institutes.  Some researchers are partly based at the Nuffield Department of Clinical Neurology and in the Oxford Centre for Functional MRI of the Brain (fMRI), a world-leading brain imaging Centre with access to 3T and 7T MRI facilities.   EP is also closely linked to the Department of Psychiatry, which provides access to clinical populations, and also houses the Oxford Centre for Human Brain Activity (OHBA), which provides access to facilities for Magnetoencephalographic (MEG) recordings.  </w:t>
      </w:r>
    </w:p>
    <w:p w:rsidR="00E52A6B" w:rsidRPr="00E23F88" w:rsidRDefault="00E52A6B" w:rsidP="00E52A6B">
      <w:pPr>
        <w:tabs>
          <w:tab w:val="left" w:pos="1701"/>
          <w:tab w:val="left" w:pos="5670"/>
          <w:tab w:val="right" w:pos="9072"/>
        </w:tabs>
        <w:spacing w:after="240"/>
        <w:rPr>
          <w:rFonts w:cs="Arial"/>
        </w:rPr>
      </w:pPr>
      <w:r w:rsidRPr="00E23F88">
        <w:rPr>
          <w:rFonts w:cs="Arial"/>
        </w:rPr>
        <w:t xml:space="preserve">The Department has a wide portfolio of research grants from UK and international charities, Research Councils and government organizations, the EU Scientific Programme, NIHR, and industrial sources. Much of the work is collaborative with other Departments and often includes work in hospitals, schools and industrial settings both locally and further afield. </w:t>
      </w:r>
    </w:p>
    <w:p w:rsidR="00E52A6B" w:rsidRPr="00E23F88" w:rsidRDefault="00E52A6B" w:rsidP="00E52A6B">
      <w:pPr>
        <w:tabs>
          <w:tab w:val="left" w:pos="1701"/>
          <w:tab w:val="left" w:pos="5670"/>
          <w:tab w:val="right" w:pos="9072"/>
        </w:tabs>
        <w:spacing w:after="240"/>
        <w:rPr>
          <w:rFonts w:cs="Arial"/>
        </w:rPr>
      </w:pPr>
      <w:r w:rsidRPr="00E23F88">
        <w:rPr>
          <w:rFonts w:cs="Arial"/>
        </w:rPr>
        <w:t xml:space="preserve">Through both the University and Colleges, Oxford places a high priority on teaching quality, recognised by the award of 24 points (the maximum possible) to Psychology in the Quality Assurance Agency’s Subject Review in 2000, and was specifically sampled with positive reviews in the QAA Institutional audit of Oxford’s teaching provision in 2004. </w:t>
      </w:r>
    </w:p>
    <w:p w:rsidR="00E52A6B" w:rsidRPr="00E23F88" w:rsidRDefault="00E52A6B" w:rsidP="00E52A6B">
      <w:pPr>
        <w:tabs>
          <w:tab w:val="left" w:pos="1701"/>
          <w:tab w:val="left" w:pos="5670"/>
          <w:tab w:val="right" w:pos="9072"/>
        </w:tabs>
        <w:spacing w:after="240"/>
        <w:rPr>
          <w:rFonts w:cs="Arial"/>
        </w:rPr>
      </w:pPr>
      <w:r w:rsidRPr="00E23F88">
        <w:rPr>
          <w:rFonts w:cs="Arial"/>
        </w:rPr>
        <w:t>(QAA report for 2000:</w:t>
      </w:r>
      <w:hyperlink r:id="rId18" w:history="1">
        <w:r w:rsidRPr="00E23F88">
          <w:rPr>
            <w:rFonts w:cs="Arial"/>
            <w:color w:val="0000FF"/>
            <w:u w:val="single"/>
          </w:rPr>
          <w:t>http://www.qaa.ac.uk/reviews/reports/subjectLevel/q313_00.pdf</w:t>
        </w:r>
      </w:hyperlink>
      <w:r w:rsidRPr="00E23F88">
        <w:rPr>
          <w:rFonts w:cs="Arial"/>
        </w:rPr>
        <w:t xml:space="preserve">, QAA report for 2004: </w:t>
      </w:r>
      <w:hyperlink r:id="rId19" w:history="1">
        <w:r w:rsidRPr="00E23F88">
          <w:rPr>
            <w:rFonts w:cs="Arial"/>
            <w:color w:val="0000FF"/>
            <w:u w:val="single"/>
          </w:rPr>
          <w:t>http://www.qaa.ac.uk/reviews/reports/institutional/Oxford04/RG052_Oxford.pdf</w:t>
        </w:r>
      </w:hyperlink>
      <w:r w:rsidRPr="00E23F88">
        <w:rPr>
          <w:rFonts w:cs="Arial"/>
        </w:rPr>
        <w:t>).</w:t>
      </w:r>
    </w:p>
    <w:p w:rsidR="00E52A6B" w:rsidRPr="00E23F88" w:rsidRDefault="00E52A6B" w:rsidP="00E52A6B">
      <w:pPr>
        <w:tabs>
          <w:tab w:val="left" w:pos="1701"/>
          <w:tab w:val="left" w:pos="5670"/>
          <w:tab w:val="right" w:pos="9072"/>
        </w:tabs>
        <w:spacing w:after="240"/>
        <w:rPr>
          <w:rFonts w:cs="Arial"/>
        </w:rPr>
      </w:pPr>
      <w:r w:rsidRPr="00E23F88">
        <w:rPr>
          <w:rFonts w:cs="Arial"/>
          <w:lang w:val="en"/>
        </w:rPr>
        <w:t>At the undergraduate level students at Oxford study Psychology, Neuroscience, Philosophy, Statistics, and related topics via small-group tutorials and lectures given by the senior academic staff.  As well as studying for examinations, students complete laboratory work and a research project as part of the course.  Both EP and PPL courses are accredited by the British Psychological Society (BPS) and many students go on to careers in research or clinical practice.</w:t>
      </w:r>
      <w:r w:rsidRPr="00E23F88">
        <w:rPr>
          <w:rFonts w:cs="Arial"/>
        </w:rPr>
        <w:t>The Department also hosts two Masters level courses: MSc in Psychological Research and MSc in Neuroscience.</w:t>
      </w:r>
    </w:p>
    <w:p w:rsidR="00E52A6B" w:rsidRPr="00E23F88" w:rsidRDefault="00E52A6B" w:rsidP="00E52A6B">
      <w:pPr>
        <w:tabs>
          <w:tab w:val="left" w:pos="1701"/>
          <w:tab w:val="left" w:pos="5670"/>
          <w:tab w:val="right" w:pos="9072"/>
        </w:tabs>
        <w:spacing w:after="240"/>
        <w:rPr>
          <w:rFonts w:cs="Arial"/>
        </w:rPr>
      </w:pPr>
      <w:r w:rsidRPr="00E23F88">
        <w:rPr>
          <w:rFonts w:cs="Arial"/>
        </w:rPr>
        <w:t xml:space="preserve">For more information please visit: </w:t>
      </w:r>
      <w:hyperlink r:id="rId20" w:history="1">
        <w:r w:rsidRPr="00E23F88">
          <w:rPr>
            <w:rFonts w:cs="Arial"/>
            <w:color w:val="0000FF"/>
            <w:u w:val="single"/>
          </w:rPr>
          <w:t>http://www.psy.ox.ac.uk</w:t>
        </w:r>
      </w:hyperlink>
      <w:r w:rsidRPr="00E23F88">
        <w:rPr>
          <w:rFonts w:cs="Arial"/>
        </w:rPr>
        <w:t>.</w:t>
      </w:r>
    </w:p>
    <w:p w:rsidR="00E52A6B" w:rsidRPr="00E23F88" w:rsidRDefault="00E52A6B" w:rsidP="00E52A6B">
      <w:pPr>
        <w:outlineLvl w:val="1"/>
        <w:rPr>
          <w:rFonts w:cs="Arial"/>
        </w:rPr>
      </w:pPr>
      <w:r w:rsidRPr="00E23F88">
        <w:rPr>
          <w:rFonts w:cs="Arial"/>
        </w:rPr>
        <w:t xml:space="preserve">The University of Oxford is a member of the </w:t>
      </w:r>
      <w:hyperlink r:id="rId21" w:history="1">
        <w:r w:rsidRPr="00E23F88">
          <w:rPr>
            <w:rFonts w:cs="Arial"/>
            <w:color w:val="0000FF"/>
            <w:u w:val="single"/>
          </w:rPr>
          <w:t>Athena SWAN Charter</w:t>
        </w:r>
      </w:hyperlink>
      <w:r w:rsidRPr="00E23F88">
        <w:rPr>
          <w:rFonts w:cs="Arial"/>
        </w:rPr>
        <w:t xml:space="preserve"> and holds an institutional Bronze Athena SWAN award.  </w:t>
      </w:r>
    </w:p>
    <w:p w:rsidR="00E52A6B" w:rsidRPr="00E23F88" w:rsidRDefault="00E52A6B" w:rsidP="00E52A6B">
      <w:pPr>
        <w:outlineLvl w:val="1"/>
        <w:rPr>
          <w:rFonts w:cs="Arial"/>
        </w:rPr>
      </w:pPr>
    </w:p>
    <w:p w:rsidR="00E52A6B" w:rsidRPr="00E23F88" w:rsidRDefault="00E52A6B" w:rsidP="00E52A6B">
      <w:pPr>
        <w:outlineLvl w:val="1"/>
        <w:rPr>
          <w:rFonts w:cs="Arial"/>
        </w:rPr>
      </w:pPr>
      <w:r w:rsidRPr="00E23F88">
        <w:rPr>
          <w:rFonts w:cs="Arial"/>
          <w:bCs/>
        </w:rPr>
        <w:t xml:space="preserve">The Department of Experimental Psychology is strongly committed to equality and valuing diversity and we operate a flexible working policy for all staff.  </w:t>
      </w:r>
      <w:r w:rsidRPr="00E23F88">
        <w:rPr>
          <w:rFonts w:cs="Arial"/>
        </w:rPr>
        <w:t>The Department holds a departmental Silver Athena award to recognise advancement of gender equality: representation, progression and success for all.</w:t>
      </w:r>
    </w:p>
    <w:p w:rsidR="00E52A6B" w:rsidRPr="00E23F88" w:rsidRDefault="00E52A6B" w:rsidP="00E52A6B">
      <w:pPr>
        <w:keepNext/>
        <w:keepLines/>
        <w:spacing w:before="80"/>
        <w:outlineLvl w:val="2"/>
        <w:rPr>
          <w:rFonts w:cs="Arial"/>
          <w:b/>
          <w:bCs/>
          <w:color w:val="003768"/>
          <w:lang w:val="en-US"/>
        </w:rPr>
      </w:pPr>
    </w:p>
    <w:p w:rsidR="00E52A6B" w:rsidRPr="00E23F88" w:rsidRDefault="00E52A6B" w:rsidP="00E52A6B">
      <w:pPr>
        <w:keepNext/>
        <w:keepLines/>
        <w:spacing w:before="80"/>
        <w:outlineLvl w:val="2"/>
        <w:rPr>
          <w:rFonts w:cs="Arial"/>
          <w:b/>
          <w:bCs/>
        </w:rPr>
      </w:pPr>
      <w:r w:rsidRPr="00E23F88">
        <w:rPr>
          <w:rFonts w:cs="Arial"/>
          <w:b/>
          <w:bCs/>
        </w:rPr>
        <w:t xml:space="preserve">Medical Sciences Division </w:t>
      </w:r>
    </w:p>
    <w:p w:rsidR="00E52A6B" w:rsidRPr="00E23F88" w:rsidRDefault="00E52A6B" w:rsidP="00E52A6B">
      <w:pPr>
        <w:rPr>
          <w:rFonts w:cs="Arial"/>
        </w:rPr>
      </w:pPr>
      <w:r w:rsidRPr="00E23F88">
        <w:rPr>
          <w:rFonts w:cs="Arial"/>
        </w:rPr>
        <w:t>The Medical Sciences Division is an internationally recognized centre of excellence for biomedical and clinical research and teaching. We are the largest academic division in the University of Oxford.</w:t>
      </w:r>
    </w:p>
    <w:p w:rsidR="00E52A6B" w:rsidRPr="00E23F88" w:rsidRDefault="00E52A6B" w:rsidP="00E52A6B">
      <w:pPr>
        <w:rPr>
          <w:rFonts w:cs="Arial"/>
        </w:rPr>
      </w:pPr>
    </w:p>
    <w:p w:rsidR="00E52A6B" w:rsidRPr="00E23F88" w:rsidRDefault="00E52A6B" w:rsidP="00E52A6B">
      <w:pPr>
        <w:rPr>
          <w:rFonts w:cs="Arial"/>
        </w:rPr>
      </w:pPr>
      <w:r w:rsidRPr="00E23F88">
        <w:rPr>
          <w:rFonts w:cs="Arial"/>
        </w:rPr>
        <w:t>World-leading programmes, housed in state-of-the-art facilities, cover the full range of scientific endeavour from the molecule to the population. With our NHS partners we also foster the highest possible standards in patient care.</w:t>
      </w:r>
    </w:p>
    <w:p w:rsidR="00E52A6B" w:rsidRPr="00E23F88" w:rsidRDefault="00E52A6B" w:rsidP="00E52A6B">
      <w:pPr>
        <w:rPr>
          <w:rFonts w:cs="Arial"/>
        </w:rPr>
      </w:pPr>
    </w:p>
    <w:p w:rsidR="00E52A6B" w:rsidRPr="00BA225C" w:rsidRDefault="00E52A6B" w:rsidP="00E52A6B">
      <w:pPr>
        <w:rPr>
          <w:rFonts w:cs="Arial"/>
        </w:rPr>
      </w:pPr>
      <w:r w:rsidRPr="00E23F88">
        <w:rPr>
          <w:rFonts w:cs="Arial"/>
        </w:rPr>
        <w:t xml:space="preserve">For more information please visit: </w:t>
      </w:r>
      <w:hyperlink r:id="rId22" w:history="1">
        <w:r w:rsidRPr="00E23F88">
          <w:rPr>
            <w:rFonts w:cs="Arial"/>
            <w:color w:val="0000FF"/>
            <w:u w:val="single"/>
          </w:rPr>
          <w:t>www.medsci.ox.ac.uk</w:t>
        </w:r>
      </w:hyperlink>
      <w:r w:rsidRPr="00BA225C">
        <w:rPr>
          <w:rFonts w:cs="Arial"/>
        </w:rPr>
        <w:t xml:space="preserve"> </w:t>
      </w:r>
    </w:p>
    <w:p w:rsidR="00E52A6B" w:rsidRPr="00E52A6B" w:rsidRDefault="00E52A6B" w:rsidP="00E52A6B">
      <w:pPr>
        <w:rPr>
          <w:color w:val="000000"/>
          <w:szCs w:val="22"/>
        </w:rPr>
      </w:pPr>
    </w:p>
    <w:p w:rsidR="00720EAB" w:rsidRPr="00002146" w:rsidRDefault="004E6372" w:rsidP="00B177E5">
      <w:pPr>
        <w:pStyle w:val="Heading2"/>
        <w:spacing w:after="0"/>
        <w:rPr>
          <w:sz w:val="24"/>
          <w:szCs w:val="24"/>
        </w:rPr>
      </w:pPr>
      <w:r w:rsidRPr="00002146">
        <w:rPr>
          <w:sz w:val="24"/>
          <w:szCs w:val="24"/>
        </w:rPr>
        <w:t>Important i</w:t>
      </w:r>
      <w:r w:rsidR="00720EAB" w:rsidRPr="00002146">
        <w:rPr>
          <w:sz w:val="24"/>
          <w:szCs w:val="24"/>
        </w:rPr>
        <w:t xml:space="preserve">nformation for </w:t>
      </w:r>
      <w:r w:rsidR="00F90143" w:rsidRPr="00002146">
        <w:rPr>
          <w:sz w:val="24"/>
          <w:szCs w:val="24"/>
        </w:rPr>
        <w:t>c</w:t>
      </w:r>
      <w:r w:rsidR="00720EAB" w:rsidRPr="00002146">
        <w:rPr>
          <w:sz w:val="24"/>
          <w:szCs w:val="24"/>
        </w:rPr>
        <w:t>andidates</w:t>
      </w:r>
    </w:p>
    <w:p w:rsidR="00356DEE" w:rsidRDefault="00356DEE" w:rsidP="00FC4352">
      <w:pPr>
        <w:spacing w:line="240" w:lineRule="auto"/>
        <w:jc w:val="left"/>
        <w:rPr>
          <w:rFonts w:cs="Arial"/>
          <w:b/>
          <w:bCs/>
          <w:sz w:val="24"/>
          <w:szCs w:val="28"/>
        </w:rPr>
      </w:pPr>
    </w:p>
    <w:p w:rsidR="00A8677F" w:rsidRPr="00927313" w:rsidRDefault="00A8677F" w:rsidP="00A8677F">
      <w:pPr>
        <w:pStyle w:val="BodyText1"/>
        <w:tabs>
          <w:tab w:val="left" w:pos="4035"/>
        </w:tabs>
        <w:rPr>
          <w:rFonts w:cs="Arial"/>
          <w:b/>
          <w:bCs/>
          <w:sz w:val="24"/>
          <w:szCs w:val="28"/>
          <w:lang w:eastAsia="en-GB"/>
        </w:rPr>
      </w:pPr>
      <w:r w:rsidRPr="00927313">
        <w:rPr>
          <w:rFonts w:cs="Arial"/>
          <w:b/>
          <w:bCs/>
          <w:sz w:val="24"/>
          <w:szCs w:val="28"/>
          <w:lang w:eastAsia="en-GB"/>
        </w:rPr>
        <w:t>Pre-employment screening</w:t>
      </w:r>
    </w:p>
    <w:p w:rsidR="00A8677F" w:rsidRDefault="00A8677F" w:rsidP="00A8677F">
      <w:pPr>
        <w:pStyle w:val="BodyText1"/>
        <w:tabs>
          <w:tab w:val="left" w:pos="4035"/>
        </w:tabs>
      </w:pPr>
      <w:r>
        <w:t xml:space="preserve">Please note that the appointment of the successful candidate will be subject to standard pre-employment screening, as applicable to the post. This will include right-to-work, proof of identity and references. </w:t>
      </w:r>
      <w:r w:rsidR="00237F2B">
        <w:t xml:space="preserve">We advise all applicants to </w:t>
      </w:r>
      <w:r>
        <w:t xml:space="preserve">read the candidate notes on the University’s pre-employment screening procedures, found at:  </w:t>
      </w:r>
    </w:p>
    <w:p w:rsidR="00A8677F" w:rsidRDefault="00EC3B02" w:rsidP="00A8677F">
      <w:pPr>
        <w:pStyle w:val="BodyText1"/>
        <w:tabs>
          <w:tab w:val="left" w:pos="4035"/>
        </w:tabs>
      </w:pPr>
      <w:hyperlink r:id="rId23" w:history="1">
        <w:r w:rsidR="00A8677F" w:rsidRPr="00B32C52">
          <w:rPr>
            <w:rStyle w:val="Hyperlink"/>
          </w:rPr>
          <w:t>www.ox.ac.uk/about/jobs/preemploymentscreening/</w:t>
        </w:r>
      </w:hyperlink>
      <w:r w:rsidR="00A8677F">
        <w:t xml:space="preserve">. </w:t>
      </w:r>
    </w:p>
    <w:p w:rsidR="00356DEE" w:rsidRDefault="00356DEE" w:rsidP="00E1750E">
      <w:pPr>
        <w:pStyle w:val="BodyText1"/>
        <w:tabs>
          <w:tab w:val="left" w:pos="4035"/>
        </w:tabs>
        <w:spacing w:before="0"/>
        <w:rPr>
          <w:b/>
          <w:sz w:val="24"/>
        </w:rPr>
      </w:pPr>
    </w:p>
    <w:p w:rsidR="00C100D4" w:rsidRPr="00720EAB" w:rsidRDefault="00C100D4" w:rsidP="00C03182">
      <w:pPr>
        <w:pStyle w:val="BodyText1"/>
        <w:tabs>
          <w:tab w:val="left" w:pos="4035"/>
        </w:tabs>
        <w:spacing w:before="240" w:after="120"/>
        <w:rPr>
          <w:b/>
          <w:i/>
          <w:sz w:val="24"/>
        </w:rPr>
      </w:pPr>
      <w:r w:rsidRPr="00C100D4">
        <w:rPr>
          <w:b/>
          <w:sz w:val="24"/>
        </w:rPr>
        <w:t>The University’s policy on retirement</w:t>
      </w:r>
    </w:p>
    <w:p w:rsidR="00C100D4" w:rsidRDefault="00C100D4" w:rsidP="004250DE">
      <w:pPr>
        <w:spacing w:line="240" w:lineRule="auto"/>
      </w:pPr>
      <w:r w:rsidRPr="00C100D4">
        <w:t xml:space="preserve">The University operates an </w:t>
      </w:r>
      <w:r w:rsidR="009F2B14">
        <w:t>E</w:t>
      </w:r>
      <w:r w:rsidRPr="00C100D4">
        <w:t xml:space="preserve">mployer </w:t>
      </w:r>
      <w:r w:rsidR="009F2B14">
        <w:t>J</w:t>
      </w:r>
      <w:r w:rsidRPr="00C100D4">
        <w:t xml:space="preserve">ustified </w:t>
      </w:r>
      <w:r w:rsidR="009F2B14">
        <w:t>R</w:t>
      </w:r>
      <w:r w:rsidRPr="00C100D4">
        <w:t xml:space="preserve">etirement </w:t>
      </w:r>
      <w:r w:rsidR="009F2B14">
        <w:t>A</w:t>
      </w:r>
      <w:r w:rsidRPr="00C100D4">
        <w:t xml:space="preserve">ge </w:t>
      </w:r>
      <w:r w:rsidR="00D71B5A">
        <w:t xml:space="preserve">(EJRA) </w:t>
      </w:r>
      <w:r w:rsidRPr="00C100D4">
        <w:t xml:space="preserve">for all academic </w:t>
      </w:r>
      <w:r w:rsidR="00D71B5A">
        <w:t xml:space="preserve">posts and some </w:t>
      </w:r>
      <w:r w:rsidR="00750A98">
        <w:t>academic-</w:t>
      </w:r>
      <w:r w:rsidRPr="00C100D4">
        <w:t>related posts</w:t>
      </w:r>
      <w:r w:rsidR="00D71B5A">
        <w:t xml:space="preserve">. </w:t>
      </w:r>
      <w:r w:rsidR="009F2B14">
        <w:t>From 1 October 2017, the University has adopted an EJRA of 30 September before the 69</w:t>
      </w:r>
      <w:r w:rsidR="009F2B14" w:rsidRPr="00431770">
        <w:rPr>
          <w:vertAlign w:val="superscript"/>
        </w:rPr>
        <w:t>th</w:t>
      </w:r>
      <w:r w:rsidR="009F2B14">
        <w:t xml:space="preserve"> birthday for all academic and academic</w:t>
      </w:r>
      <w:r w:rsidR="005E3FAD">
        <w:t>-related</w:t>
      </w:r>
      <w:r w:rsidR="00A92C61">
        <w:t xml:space="preserve"> staff in posts at </w:t>
      </w:r>
      <w:r w:rsidR="009F2B14" w:rsidRPr="00150A4E">
        <w:rPr>
          <w:b/>
        </w:rPr>
        <w:t>grade 8 and above</w:t>
      </w:r>
      <w:r w:rsidRPr="00C100D4">
        <w:t>. The justification for this is explained at:</w:t>
      </w:r>
      <w:r w:rsidR="00150A4E">
        <w:t xml:space="preserve"> </w:t>
      </w:r>
      <w:hyperlink r:id="rId24" w:history="1">
        <w:r w:rsidR="00150A4E" w:rsidRPr="001C0BEE">
          <w:rPr>
            <w:rStyle w:val="Hyperlink"/>
          </w:rPr>
          <w:t>www.admin.ox.ac.uk/personnel/end/retirement/acrelretire8+/</w:t>
        </w:r>
      </w:hyperlink>
      <w:r w:rsidR="00150A4E">
        <w:t xml:space="preserve">. </w:t>
      </w:r>
    </w:p>
    <w:p w:rsidR="00750A98" w:rsidRPr="00C100D4" w:rsidRDefault="00750A98" w:rsidP="004250DE">
      <w:pPr>
        <w:spacing w:line="240" w:lineRule="auto"/>
      </w:pPr>
    </w:p>
    <w:p w:rsidR="00C100D4" w:rsidRPr="00BB038F" w:rsidRDefault="00C100D4" w:rsidP="004250DE">
      <w:pPr>
        <w:spacing w:line="240" w:lineRule="auto"/>
      </w:pPr>
      <w:r w:rsidRPr="00C100D4">
        <w:t xml:space="preserve">For </w:t>
      </w:r>
      <w:r w:rsidRPr="00C100D4">
        <w:rPr>
          <w:b/>
        </w:rPr>
        <w:t>existing</w:t>
      </w:r>
      <w:r w:rsidRPr="00C100D4">
        <w:t xml:space="preserve"> employees</w:t>
      </w:r>
      <w:r w:rsidR="005E3FAD">
        <w:t>,</w:t>
      </w:r>
      <w:r w:rsidRPr="00C100D4">
        <w:t xml:space="preserve"> any employment beyond the retirement age is subject to approval through the procedures:</w:t>
      </w:r>
      <w:r w:rsidR="00A603AC">
        <w:t xml:space="preserve"> </w:t>
      </w:r>
      <w:hyperlink r:id="rId25" w:history="1">
        <w:r w:rsidR="00150A4E" w:rsidRPr="001C0BEE">
          <w:rPr>
            <w:rStyle w:val="Hyperlink"/>
          </w:rPr>
          <w:t>www.admin.ox.ac.uk/personnel/end/retirement/acrelretire8+/</w:t>
        </w:r>
      </w:hyperlink>
      <w:r w:rsidR="00150A4E">
        <w:t xml:space="preserve">. </w:t>
      </w:r>
    </w:p>
    <w:p w:rsidR="00484208" w:rsidRDefault="00484208" w:rsidP="004250DE">
      <w:pPr>
        <w:spacing w:line="240" w:lineRule="auto"/>
        <w:rPr>
          <w:rFonts w:cs="Arial"/>
          <w:b/>
          <w:bCs/>
          <w:sz w:val="24"/>
          <w:szCs w:val="28"/>
        </w:rPr>
      </w:pPr>
    </w:p>
    <w:p w:rsidR="00FC4352" w:rsidRDefault="00805CFC" w:rsidP="004250DE">
      <w:pPr>
        <w:pStyle w:val="BodyText1"/>
        <w:tabs>
          <w:tab w:val="left" w:pos="4035"/>
        </w:tabs>
        <w:spacing w:before="0"/>
        <w:rPr>
          <w:lang w:eastAsia="en-GB"/>
        </w:rPr>
      </w:pPr>
      <w:r>
        <w:rPr>
          <w:lang w:eastAsia="en-GB"/>
        </w:rPr>
        <w:t>F</w:t>
      </w:r>
      <w:r w:rsidR="00A92C61">
        <w:rPr>
          <w:lang w:eastAsia="en-GB"/>
        </w:rPr>
        <w:t>ro</w:t>
      </w:r>
      <w:r>
        <w:rPr>
          <w:lang w:eastAsia="en-GB"/>
        </w:rPr>
        <w:t>m 1 October 2017, t</w:t>
      </w:r>
      <w:r w:rsidR="002A44C8" w:rsidRPr="002A44C8">
        <w:rPr>
          <w:lang w:eastAsia="en-GB"/>
        </w:rPr>
        <w:t xml:space="preserve">here is no normal or fixed age at which </w:t>
      </w:r>
      <w:r w:rsidR="00D21F62">
        <w:rPr>
          <w:lang w:eastAsia="en-GB"/>
        </w:rPr>
        <w:t xml:space="preserve">staff in posts at </w:t>
      </w:r>
      <w:r w:rsidR="002A44C8" w:rsidRPr="006104F2">
        <w:rPr>
          <w:b/>
          <w:lang w:eastAsia="en-GB"/>
        </w:rPr>
        <w:t>grades 1–</w:t>
      </w:r>
      <w:r w:rsidR="00D21F62">
        <w:rPr>
          <w:b/>
          <w:lang w:eastAsia="en-GB"/>
        </w:rPr>
        <w:t>7</w:t>
      </w:r>
      <w:r w:rsidR="002A44C8" w:rsidRPr="002A44C8">
        <w:rPr>
          <w:lang w:eastAsia="en-GB"/>
        </w:rPr>
        <w:t xml:space="preserve"> have to retire. S</w:t>
      </w:r>
      <w:r w:rsidR="00D21F62">
        <w:rPr>
          <w:lang w:eastAsia="en-GB"/>
        </w:rPr>
        <w:t xml:space="preserve">taff at these grades </w:t>
      </w:r>
      <w:r w:rsidR="002A44C8" w:rsidRPr="002A44C8">
        <w:rPr>
          <w:lang w:eastAsia="en-GB"/>
        </w:rPr>
        <w:t xml:space="preserve">may </w:t>
      </w:r>
      <w:r w:rsidR="00624151">
        <w:rPr>
          <w:lang w:eastAsia="en-GB"/>
        </w:rPr>
        <w:t xml:space="preserve">elect to retire in accordance with the rules of the applicable pension scheme, as may be amended from time to time. </w:t>
      </w:r>
    </w:p>
    <w:p w:rsidR="004E6372" w:rsidRDefault="004E6372" w:rsidP="004250DE">
      <w:pPr>
        <w:pStyle w:val="BodyText1"/>
        <w:tabs>
          <w:tab w:val="left" w:pos="4035"/>
        </w:tabs>
        <w:spacing w:before="0"/>
        <w:rPr>
          <w:lang w:eastAsia="en-GB"/>
        </w:rPr>
      </w:pPr>
    </w:p>
    <w:p w:rsidR="009F5DE2" w:rsidRPr="00720EAB" w:rsidRDefault="009F5DE2" w:rsidP="004250DE">
      <w:pPr>
        <w:spacing w:before="240" w:after="240" w:line="240" w:lineRule="auto"/>
        <w:rPr>
          <w:rFonts w:cs="Arial"/>
          <w:b/>
          <w:bCs/>
          <w:sz w:val="24"/>
        </w:rPr>
      </w:pPr>
      <w:r w:rsidRPr="00720EAB">
        <w:rPr>
          <w:rFonts w:cs="Arial"/>
          <w:b/>
          <w:bCs/>
          <w:sz w:val="24"/>
        </w:rPr>
        <w:t>Equality of Opportunity</w:t>
      </w:r>
    </w:p>
    <w:p w:rsidR="009F5DE2" w:rsidRPr="00720EAB" w:rsidRDefault="009F5DE2" w:rsidP="004250DE">
      <w:pPr>
        <w:spacing w:line="240" w:lineRule="auto"/>
        <w:rPr>
          <w:rFonts w:cs="Arial"/>
          <w:color w:val="000000"/>
          <w:szCs w:val="22"/>
          <w:lang w:eastAsia="en-US"/>
        </w:rPr>
      </w:pPr>
      <w:r w:rsidRPr="00070267">
        <w:rPr>
          <w:rFonts w:cs="Arial"/>
          <w:color w:val="000000"/>
          <w:szCs w:val="22"/>
          <w:lang w:eastAsia="en-US"/>
        </w:rPr>
        <w:t>Entry into employment with the University and progression within employment will be determined only by personal merit and the application of criteria which are related to the duties of each particular post and the relevant salary structure. In all cases, ability to perform the job will be the primary consideration. No applicant or member of staff shall be discriminated against because of age, disability, gender reassignment, marriage or civil partnership, pregnancy or maternity, race, religion or belief, sex, o</w:t>
      </w:r>
      <w:r>
        <w:rPr>
          <w:rFonts w:cs="Arial"/>
          <w:color w:val="000000"/>
          <w:szCs w:val="22"/>
          <w:lang w:eastAsia="en-US"/>
        </w:rPr>
        <w:t>r sexual orientation.</w:t>
      </w:r>
    </w:p>
    <w:p w:rsidR="00805CFC" w:rsidRPr="00BC228C" w:rsidRDefault="004E6372" w:rsidP="00431770">
      <w:pPr>
        <w:spacing w:after="120"/>
        <w:jc w:val="left"/>
        <w:rPr>
          <w:rFonts w:cs="Arial"/>
          <w:lang w:eastAsia="en-US"/>
        </w:rPr>
      </w:pPr>
      <w:r>
        <w:rPr>
          <w:b/>
          <w:sz w:val="24"/>
        </w:rPr>
        <w:br w:type="page"/>
      </w:r>
      <w:r w:rsidRPr="00E1750E">
        <w:rPr>
          <w:b/>
          <w:sz w:val="28"/>
          <w:szCs w:val="28"/>
        </w:rPr>
        <w:t>Benefits of working at the University</w:t>
      </w:r>
    </w:p>
    <w:p w:rsidR="00805CFC" w:rsidRPr="00BC228C" w:rsidRDefault="00805CFC" w:rsidP="001239CD">
      <w:pPr>
        <w:pStyle w:val="Heading2"/>
        <w:shd w:val="clear" w:color="auto" w:fill="17365D"/>
        <w:spacing w:before="0"/>
        <w:jc w:val="left"/>
        <w:rPr>
          <w:szCs w:val="22"/>
        </w:rPr>
      </w:pPr>
      <w:r w:rsidRPr="00BC228C">
        <w:rPr>
          <w:szCs w:val="22"/>
        </w:rPr>
        <w:t xml:space="preserve">University Club and </w:t>
      </w:r>
      <w:r>
        <w:rPr>
          <w:szCs w:val="22"/>
        </w:rPr>
        <w:t>sports f</w:t>
      </w:r>
      <w:r w:rsidRPr="00BC228C">
        <w:rPr>
          <w:szCs w:val="22"/>
        </w:rPr>
        <w:t>acilities</w:t>
      </w:r>
    </w:p>
    <w:p w:rsidR="00805CFC" w:rsidRDefault="00805CFC" w:rsidP="001239CD">
      <w:pPr>
        <w:jc w:val="left"/>
        <w:rPr>
          <w:rFonts w:cs="Arial"/>
          <w:color w:val="333333"/>
          <w:szCs w:val="22"/>
        </w:rPr>
      </w:pPr>
      <w:r w:rsidRPr="00BC228C">
        <w:rPr>
          <w:rFonts w:cs="Arial"/>
          <w:color w:val="333333"/>
          <w:szCs w:val="22"/>
        </w:rPr>
        <w:t xml:space="preserve">The University Club provides social, sporting and hospitality facilities. It incorporates a bar, </w:t>
      </w:r>
      <w:r w:rsidR="001239CD">
        <w:rPr>
          <w:rFonts w:cs="Arial"/>
          <w:color w:val="333333"/>
          <w:szCs w:val="22"/>
        </w:rPr>
        <w:t xml:space="preserve">café </w:t>
      </w:r>
      <w:r w:rsidR="001239CD" w:rsidRPr="00BC228C">
        <w:rPr>
          <w:rFonts w:cs="Arial"/>
          <w:color w:val="333333"/>
          <w:szCs w:val="22"/>
        </w:rPr>
        <w:t>and</w:t>
      </w:r>
      <w:r w:rsidRPr="00BC228C">
        <w:rPr>
          <w:rFonts w:cs="Arial"/>
          <w:color w:val="333333"/>
          <w:szCs w:val="22"/>
        </w:rPr>
        <w:t xml:space="preserve"> sporting facilities, including a gym.</w:t>
      </w:r>
      <w:r>
        <w:rPr>
          <w:rFonts w:cs="Arial"/>
          <w:color w:val="333333"/>
          <w:szCs w:val="22"/>
        </w:rPr>
        <w:t xml:space="preserve"> S</w:t>
      </w:r>
      <w:r w:rsidRPr="00BC228C">
        <w:rPr>
          <w:rFonts w:cs="Arial"/>
          <w:color w:val="333333"/>
          <w:szCs w:val="22"/>
        </w:rPr>
        <w:t>taff can also use the University Sports Centre on Iffley Road at discounted rates</w:t>
      </w:r>
      <w:r>
        <w:rPr>
          <w:rFonts w:cs="Arial"/>
          <w:color w:val="333333"/>
          <w:szCs w:val="22"/>
        </w:rPr>
        <w:t xml:space="preserve">, including </w:t>
      </w:r>
      <w:r w:rsidRPr="00BC228C">
        <w:rPr>
          <w:rFonts w:cs="Arial"/>
          <w:color w:val="333333"/>
          <w:szCs w:val="22"/>
        </w:rPr>
        <w:t>a fitness centre</w:t>
      </w:r>
      <w:r>
        <w:rPr>
          <w:rFonts w:cs="Arial"/>
          <w:color w:val="333333"/>
          <w:szCs w:val="22"/>
        </w:rPr>
        <w:t xml:space="preserve">, </w:t>
      </w:r>
      <w:r w:rsidRPr="00BC228C">
        <w:rPr>
          <w:rFonts w:cs="Arial"/>
          <w:color w:val="333333"/>
          <w:szCs w:val="22"/>
        </w:rPr>
        <w:t xml:space="preserve">powerlifting room, </w:t>
      </w:r>
      <w:r>
        <w:rPr>
          <w:rFonts w:cs="Arial"/>
          <w:color w:val="333333"/>
          <w:szCs w:val="22"/>
        </w:rPr>
        <w:t>and</w:t>
      </w:r>
      <w:r w:rsidRPr="00BC228C">
        <w:rPr>
          <w:rFonts w:cs="Arial"/>
          <w:color w:val="333333"/>
          <w:szCs w:val="22"/>
        </w:rPr>
        <w:t xml:space="preserve"> swimming pool. </w:t>
      </w:r>
    </w:p>
    <w:p w:rsidR="00805CFC" w:rsidRPr="00895263" w:rsidRDefault="00805CFC" w:rsidP="001239CD">
      <w:pPr>
        <w:jc w:val="left"/>
        <w:rPr>
          <w:rFonts w:cs="Arial"/>
          <w:color w:val="333333"/>
          <w:szCs w:val="22"/>
        </w:rPr>
      </w:pPr>
      <w:r>
        <w:rPr>
          <w:rFonts w:cs="Arial"/>
          <w:color w:val="333333"/>
          <w:szCs w:val="22"/>
        </w:rPr>
        <w:t xml:space="preserve">See: </w:t>
      </w:r>
      <w:hyperlink r:id="rId26" w:tooltip="University Club web address" w:history="1">
        <w:r w:rsidRPr="00BC228C">
          <w:rPr>
            <w:rStyle w:val="Hyperlink"/>
            <w:rFonts w:cs="Arial"/>
            <w:szCs w:val="22"/>
          </w:rPr>
          <w:t>www.club.ox.ac.uk</w:t>
        </w:r>
      </w:hyperlink>
      <w:r w:rsidRPr="00BC228C">
        <w:rPr>
          <w:rFonts w:cs="Arial"/>
          <w:color w:val="333333"/>
          <w:szCs w:val="22"/>
        </w:rPr>
        <w:t xml:space="preserve"> </w:t>
      </w:r>
      <w:r w:rsidR="001239CD">
        <w:rPr>
          <w:rFonts w:cs="Arial"/>
          <w:color w:val="333333"/>
          <w:szCs w:val="22"/>
        </w:rPr>
        <w:t xml:space="preserve">and </w:t>
      </w:r>
      <w:hyperlink r:id="rId27" w:tooltip="Sports Facility web address" w:history="1">
        <w:r w:rsidRPr="00BC228C">
          <w:rPr>
            <w:rStyle w:val="Hyperlink"/>
            <w:rFonts w:cs="Arial"/>
            <w:szCs w:val="22"/>
          </w:rPr>
          <w:t>www.sport.ox.ac.uk/oxford-university-sports-facilities</w:t>
        </w:r>
      </w:hyperlink>
      <w:r w:rsidRPr="00BC228C">
        <w:rPr>
          <w:rStyle w:val="Hyperlink"/>
          <w:rFonts w:cs="Arial"/>
          <w:szCs w:val="22"/>
        </w:rPr>
        <w:t>.</w:t>
      </w:r>
    </w:p>
    <w:p w:rsidR="00805CFC" w:rsidRPr="00BC228C" w:rsidRDefault="00805CFC" w:rsidP="001239CD">
      <w:pPr>
        <w:jc w:val="left"/>
        <w:rPr>
          <w:rFonts w:cs="Arial"/>
          <w:color w:val="333333"/>
          <w:szCs w:val="22"/>
        </w:rPr>
      </w:pPr>
    </w:p>
    <w:p w:rsidR="00805CFC" w:rsidRPr="00895263" w:rsidRDefault="00805CFC" w:rsidP="001239CD">
      <w:pPr>
        <w:pStyle w:val="Heading2"/>
        <w:shd w:val="clear" w:color="auto" w:fill="17365D"/>
        <w:spacing w:before="0"/>
        <w:jc w:val="left"/>
        <w:rPr>
          <w:szCs w:val="22"/>
        </w:rPr>
      </w:pPr>
      <w:r w:rsidRPr="00895263">
        <w:rPr>
          <w:szCs w:val="22"/>
        </w:rPr>
        <w:t>Information for international staff (or those relocating from another part of the UK)</w:t>
      </w:r>
    </w:p>
    <w:p w:rsidR="00805CFC" w:rsidRDefault="00805CFC" w:rsidP="001239CD">
      <w:pPr>
        <w:jc w:val="left"/>
        <w:rPr>
          <w:rFonts w:cs="Arial"/>
          <w:szCs w:val="22"/>
        </w:rPr>
      </w:pPr>
      <w:r>
        <w:rPr>
          <w:rFonts w:cs="Arial"/>
          <w:szCs w:val="22"/>
        </w:rPr>
        <w:t xml:space="preserve">If you are relocating to Oxfordshire from overseas, or elsewhere in the UK, </w:t>
      </w:r>
      <w:r w:rsidRPr="00BC228C">
        <w:rPr>
          <w:rFonts w:cs="Arial"/>
          <w:szCs w:val="22"/>
        </w:rPr>
        <w:t>the Universit</w:t>
      </w:r>
      <w:r>
        <w:rPr>
          <w:rFonts w:cs="Arial"/>
          <w:szCs w:val="22"/>
        </w:rPr>
        <w:t>y's International Staff website includes practical information</w:t>
      </w:r>
      <w:r w:rsidRPr="00BC228C">
        <w:rPr>
          <w:rFonts w:cs="Arial"/>
          <w:szCs w:val="22"/>
        </w:rPr>
        <w:t xml:space="preserve"> related to moving to and settling in Oxford such as advice on immigration</w:t>
      </w:r>
      <w:r>
        <w:rPr>
          <w:rFonts w:cs="Arial"/>
          <w:szCs w:val="22"/>
        </w:rPr>
        <w:t xml:space="preserve">, </w:t>
      </w:r>
      <w:r w:rsidRPr="00BC228C">
        <w:rPr>
          <w:rFonts w:cs="Arial"/>
          <w:szCs w:val="22"/>
        </w:rPr>
        <w:t>relocation, accommodation</w:t>
      </w:r>
      <w:r>
        <w:rPr>
          <w:rFonts w:cs="Arial"/>
          <w:szCs w:val="22"/>
        </w:rPr>
        <w:t>, or</w:t>
      </w:r>
      <w:r w:rsidRPr="00BC228C">
        <w:rPr>
          <w:rFonts w:cs="Arial"/>
          <w:szCs w:val="22"/>
        </w:rPr>
        <w:t xml:space="preserve"> register</w:t>
      </w:r>
      <w:r>
        <w:rPr>
          <w:rFonts w:cs="Arial"/>
          <w:szCs w:val="22"/>
        </w:rPr>
        <w:t>ing</w:t>
      </w:r>
      <w:r w:rsidRPr="00BC228C">
        <w:rPr>
          <w:rFonts w:cs="Arial"/>
          <w:szCs w:val="22"/>
        </w:rPr>
        <w:t xml:space="preserve"> with a doctor. </w:t>
      </w:r>
    </w:p>
    <w:p w:rsidR="00805CFC" w:rsidRPr="00BC228C" w:rsidRDefault="00805CFC" w:rsidP="001239CD">
      <w:pPr>
        <w:spacing w:after="120"/>
        <w:jc w:val="left"/>
        <w:rPr>
          <w:rFonts w:cs="Arial"/>
          <w:szCs w:val="22"/>
        </w:rPr>
      </w:pPr>
      <w:r>
        <w:rPr>
          <w:rFonts w:cs="Arial"/>
          <w:szCs w:val="22"/>
        </w:rPr>
        <w:t>See:</w:t>
      </w:r>
      <w:r w:rsidRPr="00BC228C">
        <w:rPr>
          <w:rFonts w:cs="Arial"/>
          <w:szCs w:val="22"/>
        </w:rPr>
        <w:t xml:space="preserve"> </w:t>
      </w:r>
      <w:hyperlink r:id="rId28" w:history="1">
        <w:r w:rsidR="005E3FAD" w:rsidRPr="00AC3E4A">
          <w:rPr>
            <w:rStyle w:val="Hyperlink"/>
            <w:rFonts w:cs="Arial"/>
            <w:szCs w:val="22"/>
          </w:rPr>
          <w:t>www.internationalstaffwelcome.admin.ox.ac.uk/</w:t>
        </w:r>
      </w:hyperlink>
      <w:r w:rsidR="005E3FAD">
        <w:rPr>
          <w:rFonts w:cs="Arial"/>
          <w:szCs w:val="22"/>
        </w:rPr>
        <w:t xml:space="preserve"> </w:t>
      </w:r>
    </w:p>
    <w:p w:rsidR="00805CFC" w:rsidRPr="00895263" w:rsidRDefault="00805CFC" w:rsidP="001239CD">
      <w:pPr>
        <w:pStyle w:val="Heading2"/>
        <w:shd w:val="clear" w:color="auto" w:fill="17365D"/>
        <w:spacing w:before="0"/>
        <w:jc w:val="left"/>
        <w:rPr>
          <w:szCs w:val="22"/>
        </w:rPr>
      </w:pPr>
      <w:r w:rsidRPr="00895263">
        <w:rPr>
          <w:szCs w:val="22"/>
        </w:rPr>
        <w:t xml:space="preserve">The University of Oxford Newcomers' Club </w:t>
      </w:r>
    </w:p>
    <w:p w:rsidR="00805CFC" w:rsidRPr="00BC228C" w:rsidRDefault="00805CFC" w:rsidP="001239CD">
      <w:pPr>
        <w:tabs>
          <w:tab w:val="clear" w:pos="576"/>
          <w:tab w:val="clear" w:pos="1152"/>
        </w:tabs>
        <w:jc w:val="left"/>
        <w:rPr>
          <w:rFonts w:cs="Arial"/>
          <w:szCs w:val="22"/>
        </w:rPr>
      </w:pPr>
      <w:r w:rsidRPr="00BC228C">
        <w:rPr>
          <w:rFonts w:cs="Arial"/>
          <w:szCs w:val="22"/>
        </w:rPr>
        <w:t>The University of Oxford Newcomers' Club is</w:t>
      </w:r>
      <w:r w:rsidR="005E3FAD">
        <w:rPr>
          <w:rFonts w:cs="Arial"/>
          <w:szCs w:val="22"/>
        </w:rPr>
        <w:t xml:space="preserve"> an organisation</w:t>
      </w:r>
      <w:r w:rsidRPr="00BC228C">
        <w:rPr>
          <w:rFonts w:cs="Arial"/>
          <w:szCs w:val="22"/>
        </w:rPr>
        <w:t xml:space="preserve"> run by volunteers</w:t>
      </w:r>
      <w:r w:rsidR="005E3FAD">
        <w:rPr>
          <w:rFonts w:cs="Arial"/>
          <w:szCs w:val="22"/>
        </w:rPr>
        <w:t xml:space="preserve"> that aims to assist the partners of new staff to settle into Oxford and to provide them with an opportunity to meet people in the area. </w:t>
      </w:r>
      <w:r>
        <w:rPr>
          <w:rFonts w:cs="Arial"/>
          <w:szCs w:val="22"/>
        </w:rPr>
        <w:t xml:space="preserve">See </w:t>
      </w:r>
      <w:hyperlink r:id="rId29" w:history="1">
        <w:r w:rsidRPr="0074435A">
          <w:rPr>
            <w:rStyle w:val="Hyperlink"/>
            <w:rFonts w:cs="Arial"/>
            <w:szCs w:val="22"/>
          </w:rPr>
          <w:t>www.newcomers.ox.ac.uk/</w:t>
        </w:r>
      </w:hyperlink>
      <w:r>
        <w:rPr>
          <w:rFonts w:cs="Arial"/>
          <w:szCs w:val="22"/>
        </w:rPr>
        <w:t xml:space="preserve">  </w:t>
      </w:r>
    </w:p>
    <w:p w:rsidR="00805CFC" w:rsidRPr="00BC228C" w:rsidRDefault="00805CFC" w:rsidP="001239CD">
      <w:pPr>
        <w:tabs>
          <w:tab w:val="clear" w:pos="576"/>
          <w:tab w:val="clear" w:pos="1152"/>
        </w:tabs>
        <w:jc w:val="left"/>
        <w:rPr>
          <w:rFonts w:cs="Arial"/>
          <w:szCs w:val="22"/>
        </w:rPr>
      </w:pPr>
    </w:p>
    <w:p w:rsidR="00805CFC" w:rsidRPr="00895263" w:rsidRDefault="00805CFC" w:rsidP="001239CD">
      <w:pPr>
        <w:pStyle w:val="Heading2"/>
        <w:shd w:val="clear" w:color="auto" w:fill="17365D"/>
        <w:spacing w:before="0"/>
        <w:jc w:val="left"/>
        <w:rPr>
          <w:szCs w:val="22"/>
        </w:rPr>
      </w:pPr>
      <w:r w:rsidRPr="00895263">
        <w:rPr>
          <w:szCs w:val="22"/>
        </w:rPr>
        <w:t xml:space="preserve">Childcare </w:t>
      </w:r>
    </w:p>
    <w:p w:rsidR="00805CFC" w:rsidRDefault="00805CFC" w:rsidP="001239CD">
      <w:pPr>
        <w:tabs>
          <w:tab w:val="clear" w:pos="576"/>
          <w:tab w:val="clear" w:pos="1152"/>
        </w:tabs>
        <w:jc w:val="left"/>
        <w:rPr>
          <w:rFonts w:cs="Arial"/>
          <w:szCs w:val="22"/>
          <w:lang w:val="en-US"/>
        </w:rPr>
      </w:pPr>
      <w:r w:rsidRPr="00BC228C">
        <w:rPr>
          <w:rFonts w:cs="Arial"/>
          <w:szCs w:val="22"/>
          <w:lang w:val="en-US"/>
        </w:rPr>
        <w:t xml:space="preserve">The University </w:t>
      </w:r>
      <w:r>
        <w:rPr>
          <w:rFonts w:cs="Arial"/>
          <w:szCs w:val="22"/>
          <w:lang w:val="en-US"/>
        </w:rPr>
        <w:t>has</w:t>
      </w:r>
      <w:r w:rsidRPr="00BC228C">
        <w:rPr>
          <w:rFonts w:cs="Arial"/>
          <w:szCs w:val="22"/>
          <w:lang w:val="en-US"/>
        </w:rPr>
        <w:t xml:space="preserve"> </w:t>
      </w:r>
      <w:r>
        <w:rPr>
          <w:rFonts w:cs="Arial"/>
          <w:szCs w:val="22"/>
          <w:lang w:val="en-US"/>
        </w:rPr>
        <w:t>excellent</w:t>
      </w:r>
      <w:r w:rsidRPr="00BC228C">
        <w:rPr>
          <w:rFonts w:cs="Arial"/>
          <w:szCs w:val="22"/>
          <w:lang w:val="en-US"/>
        </w:rPr>
        <w:t xml:space="preserve"> childcare service</w:t>
      </w:r>
      <w:r>
        <w:rPr>
          <w:rFonts w:cs="Arial"/>
          <w:szCs w:val="22"/>
          <w:lang w:val="en-US"/>
        </w:rPr>
        <w:t>s with five</w:t>
      </w:r>
      <w:r w:rsidRPr="00BC228C">
        <w:rPr>
          <w:rFonts w:cs="Arial"/>
          <w:szCs w:val="22"/>
          <w:lang w:val="en-US"/>
        </w:rPr>
        <w:t xml:space="preserve"> University nurseries, as well as University-supported places at </w:t>
      </w:r>
      <w:r>
        <w:rPr>
          <w:rFonts w:cs="Arial"/>
          <w:szCs w:val="22"/>
          <w:lang w:val="en-US"/>
        </w:rPr>
        <w:t>many other</w:t>
      </w:r>
      <w:r w:rsidRPr="00BC228C">
        <w:rPr>
          <w:rFonts w:cs="Arial"/>
          <w:szCs w:val="22"/>
          <w:lang w:val="en-US"/>
        </w:rPr>
        <w:t xml:space="preserve"> private nurseries.</w:t>
      </w:r>
    </w:p>
    <w:p w:rsidR="00805CFC" w:rsidRDefault="00805CFC" w:rsidP="001239CD">
      <w:pPr>
        <w:tabs>
          <w:tab w:val="clear" w:pos="576"/>
          <w:tab w:val="clear" w:pos="1152"/>
        </w:tabs>
        <w:spacing w:after="225"/>
        <w:jc w:val="left"/>
        <w:rPr>
          <w:rFonts w:cs="Arial"/>
          <w:szCs w:val="22"/>
          <w:lang w:val="en-US"/>
        </w:rPr>
      </w:pPr>
      <w:r w:rsidRPr="00BC228C">
        <w:rPr>
          <w:rFonts w:cs="Arial"/>
          <w:szCs w:val="22"/>
          <w:lang w:val="en-US"/>
        </w:rPr>
        <w:t xml:space="preserve">For full details including how to apply and the costs, </w:t>
      </w:r>
      <w:r>
        <w:rPr>
          <w:rFonts w:cs="Arial"/>
          <w:szCs w:val="22"/>
          <w:lang w:val="en-US"/>
        </w:rPr>
        <w:t>see</w:t>
      </w:r>
      <w:r w:rsidRPr="00BC228C">
        <w:rPr>
          <w:rFonts w:cs="Arial"/>
          <w:szCs w:val="22"/>
          <w:lang w:val="en-US"/>
        </w:rPr>
        <w:t xml:space="preserve"> </w:t>
      </w:r>
      <w:hyperlink r:id="rId30" w:history="1">
        <w:r w:rsidRPr="00C83917">
          <w:rPr>
            <w:rStyle w:val="Hyperlink"/>
          </w:rPr>
          <w:t>www.admin.ox.ac.uk/childcare</w:t>
        </w:r>
      </w:hyperlink>
      <w:r w:rsidRPr="00BC228C">
        <w:rPr>
          <w:rFonts w:cs="Arial"/>
          <w:szCs w:val="22"/>
          <w:lang w:val="en-US"/>
        </w:rPr>
        <w:t xml:space="preserve">. </w:t>
      </w:r>
    </w:p>
    <w:p w:rsidR="00805CFC" w:rsidRDefault="00805CFC" w:rsidP="001239CD">
      <w:pPr>
        <w:pStyle w:val="Heading2"/>
        <w:shd w:val="clear" w:color="auto" w:fill="17365D"/>
        <w:spacing w:before="0"/>
        <w:jc w:val="left"/>
        <w:rPr>
          <w:szCs w:val="22"/>
        </w:rPr>
      </w:pPr>
      <w:r>
        <w:rPr>
          <w:szCs w:val="22"/>
        </w:rPr>
        <w:t>Family-f</w:t>
      </w:r>
      <w:r w:rsidRPr="00A4558E">
        <w:rPr>
          <w:szCs w:val="22"/>
        </w:rPr>
        <w:t>riendly</w:t>
      </w:r>
      <w:r>
        <w:rPr>
          <w:szCs w:val="22"/>
        </w:rPr>
        <w:t xml:space="preserve"> benefits</w:t>
      </w:r>
    </w:p>
    <w:p w:rsidR="00805CFC" w:rsidRDefault="00805CFC" w:rsidP="001239CD">
      <w:pPr>
        <w:jc w:val="left"/>
      </w:pPr>
      <w:r>
        <w:t>The University subscribes to My Family Care (</w:t>
      </w:r>
      <w:hyperlink r:id="rId31" w:history="1">
        <w:r w:rsidRPr="00B94741">
          <w:rPr>
            <w:rStyle w:val="Hyperlink"/>
          </w:rPr>
          <w:t>www.admin.ox.ac.uk/personnel/staffinfo/benefits/family/mfc/</w:t>
        </w:r>
      </w:hyperlink>
      <w:r>
        <w:t>) and staff are eligible to register for emergency back-up childcare and adultcare services, a 'speak to an expert' phone line and a wide range of guides and webinars through a website called the Work + Family space.</w:t>
      </w:r>
    </w:p>
    <w:p w:rsidR="001239CD" w:rsidRPr="00A4558E" w:rsidRDefault="001239CD" w:rsidP="001239CD">
      <w:pPr>
        <w:jc w:val="left"/>
      </w:pPr>
    </w:p>
    <w:p w:rsidR="00805CFC" w:rsidRPr="00BC228C" w:rsidRDefault="00805CFC" w:rsidP="001239CD">
      <w:pPr>
        <w:pStyle w:val="Heading2"/>
        <w:shd w:val="clear" w:color="auto" w:fill="17365D"/>
        <w:spacing w:before="0"/>
        <w:jc w:val="left"/>
        <w:rPr>
          <w:szCs w:val="22"/>
        </w:rPr>
      </w:pPr>
      <w:r w:rsidRPr="00BC228C">
        <w:rPr>
          <w:szCs w:val="22"/>
        </w:rPr>
        <w:t>Disabled staff</w:t>
      </w:r>
    </w:p>
    <w:p w:rsidR="00805CFC" w:rsidRDefault="00805CFC" w:rsidP="001239CD">
      <w:pPr>
        <w:jc w:val="left"/>
        <w:rPr>
          <w:rFonts w:cs="Arial"/>
          <w:color w:val="333333"/>
          <w:szCs w:val="22"/>
        </w:rPr>
      </w:pPr>
      <w:r w:rsidRPr="00895263">
        <w:rPr>
          <w:rFonts w:cs="Arial"/>
          <w:bCs/>
          <w:iCs/>
          <w:szCs w:val="22"/>
        </w:rPr>
        <w:t>We are committed to sup</w:t>
      </w:r>
      <w:r>
        <w:rPr>
          <w:rFonts w:cs="Arial"/>
          <w:bCs/>
          <w:iCs/>
          <w:szCs w:val="22"/>
        </w:rPr>
        <w:t>porting members of staff with disabilities</w:t>
      </w:r>
      <w:r w:rsidRPr="00895263">
        <w:rPr>
          <w:rFonts w:cs="Arial"/>
          <w:bCs/>
          <w:iCs/>
          <w:szCs w:val="22"/>
        </w:rPr>
        <w:t xml:space="preserve"> or long-term health</w:t>
      </w:r>
      <w:r w:rsidRPr="00BC228C">
        <w:rPr>
          <w:rFonts w:cs="Arial"/>
          <w:color w:val="333333"/>
          <w:szCs w:val="22"/>
        </w:rPr>
        <w:t xml:space="preserve"> condition</w:t>
      </w:r>
      <w:r>
        <w:rPr>
          <w:rFonts w:cs="Arial"/>
          <w:color w:val="333333"/>
          <w:szCs w:val="22"/>
        </w:rPr>
        <w:t>s</w:t>
      </w:r>
      <w:r w:rsidRPr="00BC228C">
        <w:rPr>
          <w:rFonts w:cs="Arial"/>
          <w:color w:val="333333"/>
          <w:szCs w:val="22"/>
        </w:rPr>
        <w:t>. Please visit</w:t>
      </w:r>
      <w:r w:rsidRPr="00BC228C">
        <w:rPr>
          <w:rFonts w:cs="Arial"/>
          <w:color w:val="1F497D"/>
          <w:szCs w:val="22"/>
        </w:rPr>
        <w:t xml:space="preserve"> </w:t>
      </w:r>
      <w:hyperlink r:id="rId32" w:history="1">
        <w:r w:rsidRPr="00BC228C">
          <w:rPr>
            <w:rStyle w:val="Hyperlink"/>
          </w:rPr>
          <w:t>www.admin.ox.ac.uk/eop/disab/staff</w:t>
        </w:r>
      </w:hyperlink>
      <w:r w:rsidRPr="00BC228C">
        <w:rPr>
          <w:rFonts w:cs="Arial"/>
          <w:color w:val="1F497D"/>
          <w:szCs w:val="22"/>
        </w:rPr>
        <w:t xml:space="preserve"> </w:t>
      </w:r>
      <w:r>
        <w:rPr>
          <w:rFonts w:cs="Arial"/>
          <w:color w:val="333333"/>
          <w:szCs w:val="22"/>
        </w:rPr>
        <w:t xml:space="preserve">for further details including information about how to make contact, in confidence, with the University’s </w:t>
      </w:r>
      <w:r w:rsidRPr="00BC228C">
        <w:rPr>
          <w:rFonts w:cs="Arial"/>
          <w:color w:val="333333"/>
          <w:szCs w:val="22"/>
        </w:rPr>
        <w:t>Staff Disability Advisor</w:t>
      </w:r>
      <w:r>
        <w:rPr>
          <w:rFonts w:cs="Arial"/>
          <w:color w:val="333333"/>
          <w:szCs w:val="22"/>
        </w:rPr>
        <w:t>.</w:t>
      </w:r>
      <w:r w:rsidRPr="00BC228C">
        <w:rPr>
          <w:rFonts w:cs="Arial"/>
          <w:color w:val="333333"/>
          <w:szCs w:val="22"/>
        </w:rPr>
        <w:t xml:space="preserve"> </w:t>
      </w:r>
    </w:p>
    <w:p w:rsidR="001239CD" w:rsidRDefault="001239CD" w:rsidP="001239CD">
      <w:pPr>
        <w:jc w:val="left"/>
        <w:rPr>
          <w:rFonts w:cs="Arial"/>
          <w:color w:val="333333"/>
          <w:szCs w:val="22"/>
        </w:rPr>
      </w:pPr>
    </w:p>
    <w:p w:rsidR="00805CFC" w:rsidRPr="00BC228C" w:rsidRDefault="00805CFC" w:rsidP="001239CD">
      <w:pPr>
        <w:pStyle w:val="Heading2"/>
        <w:shd w:val="clear" w:color="auto" w:fill="17365D"/>
        <w:spacing w:before="0"/>
        <w:jc w:val="left"/>
        <w:rPr>
          <w:szCs w:val="22"/>
        </w:rPr>
      </w:pPr>
      <w:r>
        <w:rPr>
          <w:szCs w:val="22"/>
        </w:rPr>
        <w:t>Staff networks</w:t>
      </w:r>
    </w:p>
    <w:p w:rsidR="00805CFC" w:rsidRDefault="00805CFC" w:rsidP="001239CD">
      <w:pPr>
        <w:jc w:val="left"/>
        <w:rPr>
          <w:rFonts w:cs="Arial"/>
          <w:color w:val="1F497D"/>
          <w:szCs w:val="22"/>
        </w:rPr>
      </w:pPr>
      <w:r>
        <w:rPr>
          <w:rFonts w:cs="Arial"/>
          <w:color w:val="1F497D"/>
          <w:szCs w:val="22"/>
        </w:rPr>
        <w:t>The University has a number of staff networks including the Oxford Research Staff Society, BME staff network, LGBT+  staff network and a disabled staff network.  You can find more information</w:t>
      </w:r>
      <w:r w:rsidR="005E3FAD">
        <w:rPr>
          <w:rFonts w:cs="Arial"/>
          <w:color w:val="1F497D"/>
          <w:szCs w:val="22"/>
        </w:rPr>
        <w:t xml:space="preserve"> at</w:t>
      </w:r>
      <w:r>
        <w:rPr>
          <w:rFonts w:cs="Arial"/>
          <w:color w:val="1F497D"/>
          <w:szCs w:val="22"/>
        </w:rPr>
        <w:t xml:space="preserve"> </w:t>
      </w:r>
      <w:hyperlink r:id="rId33" w:history="1">
        <w:r w:rsidR="001239CD" w:rsidRPr="001239CD">
          <w:rPr>
            <w:rStyle w:val="Hyperlink"/>
            <w:rFonts w:cs="Arial"/>
            <w:szCs w:val="22"/>
          </w:rPr>
          <w:t>www.admin.ox.ac.uk/eop/inpractice/networks/</w:t>
        </w:r>
      </w:hyperlink>
      <w:r>
        <w:rPr>
          <w:rFonts w:cs="Arial"/>
          <w:color w:val="1F497D"/>
          <w:szCs w:val="22"/>
        </w:rPr>
        <w:t xml:space="preserve">  </w:t>
      </w:r>
    </w:p>
    <w:p w:rsidR="001239CD" w:rsidRPr="00BC228C" w:rsidRDefault="001239CD" w:rsidP="001239CD">
      <w:pPr>
        <w:jc w:val="left"/>
        <w:rPr>
          <w:rFonts w:cs="Arial"/>
          <w:color w:val="1F497D"/>
          <w:szCs w:val="22"/>
        </w:rPr>
      </w:pPr>
    </w:p>
    <w:p w:rsidR="00805CFC" w:rsidRPr="00895263" w:rsidRDefault="00805CFC" w:rsidP="001239CD">
      <w:pPr>
        <w:pStyle w:val="Heading2"/>
        <w:shd w:val="clear" w:color="auto" w:fill="17365D"/>
        <w:spacing w:before="0"/>
        <w:jc w:val="left"/>
        <w:rPr>
          <w:szCs w:val="22"/>
        </w:rPr>
      </w:pPr>
      <w:r>
        <w:rPr>
          <w:szCs w:val="22"/>
        </w:rPr>
        <w:t>O</w:t>
      </w:r>
      <w:r w:rsidRPr="00895263">
        <w:rPr>
          <w:szCs w:val="22"/>
        </w:rPr>
        <w:t>ther benefits</w:t>
      </w:r>
    </w:p>
    <w:p w:rsidR="00805CFC" w:rsidRDefault="00805CFC" w:rsidP="001239CD">
      <w:pPr>
        <w:jc w:val="left"/>
      </w:pPr>
      <w:r>
        <w:t xml:space="preserve">Staff can enjoy a range of </w:t>
      </w:r>
      <w:r w:rsidRPr="00895263">
        <w:t xml:space="preserve">other benefits such as free </w:t>
      </w:r>
      <w:r>
        <w:t>visitor access to the University’s</w:t>
      </w:r>
      <w:r w:rsidRPr="00895263">
        <w:t xml:space="preserve"> colleges</w:t>
      </w:r>
      <w:r>
        <w:t xml:space="preserve"> and </w:t>
      </w:r>
      <w:r w:rsidRPr="00895263">
        <w:t>the Botanic Gardens</w:t>
      </w:r>
      <w:r>
        <w:t xml:space="preserve"> as well as a range of</w:t>
      </w:r>
      <w:r w:rsidRPr="00895263">
        <w:t xml:space="preserve"> discounts</w:t>
      </w:r>
      <w:r>
        <w:t xml:space="preserve">. </w:t>
      </w:r>
    </w:p>
    <w:p w:rsidR="00805CFC" w:rsidRDefault="00805CFC" w:rsidP="001239CD">
      <w:pPr>
        <w:jc w:val="left"/>
      </w:pPr>
      <w:r>
        <w:t>See</w:t>
      </w:r>
      <w:r w:rsidRPr="00895263">
        <w:t xml:space="preserve"> </w:t>
      </w:r>
      <w:hyperlink r:id="rId34" w:history="1">
        <w:r w:rsidRPr="0074435A">
          <w:rPr>
            <w:rStyle w:val="Hyperlink"/>
          </w:rPr>
          <w:t>www.admin.ox.ac.uk/personnel/staffinfo/benefits</w:t>
        </w:r>
      </w:hyperlink>
      <w:r>
        <w:t xml:space="preserve"> </w:t>
      </w:r>
    </w:p>
    <w:p w:rsidR="004E6372" w:rsidRPr="002A44C8" w:rsidRDefault="004E6372" w:rsidP="002F490A">
      <w:pPr>
        <w:pStyle w:val="BodyText1"/>
        <w:tabs>
          <w:tab w:val="left" w:pos="4035"/>
        </w:tabs>
        <w:spacing w:before="0" w:line="240" w:lineRule="auto"/>
        <w:jc w:val="left"/>
        <w:rPr>
          <w:lang w:eastAsia="en-GB"/>
        </w:rPr>
      </w:pPr>
      <w:bookmarkStart w:id="1" w:name="d.en.37668"/>
      <w:bookmarkStart w:id="2" w:name="d.en.37669"/>
      <w:bookmarkStart w:id="3" w:name="d.en.37670"/>
      <w:bookmarkStart w:id="4" w:name="d.en.37671"/>
      <w:bookmarkEnd w:id="1"/>
      <w:bookmarkEnd w:id="2"/>
      <w:bookmarkEnd w:id="3"/>
      <w:bookmarkEnd w:id="4"/>
    </w:p>
    <w:sectPr w:rsidR="004E6372" w:rsidRPr="002A44C8" w:rsidSect="004E6372">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7DF" w:rsidRDefault="000257DF" w:rsidP="005F55F0">
      <w:r>
        <w:separator/>
      </w:r>
    </w:p>
    <w:p w:rsidR="000257DF" w:rsidRDefault="000257DF" w:rsidP="005F55F0"/>
  </w:endnote>
  <w:endnote w:type="continuationSeparator" w:id="0">
    <w:p w:rsidR="000257DF" w:rsidRDefault="000257DF" w:rsidP="005F55F0">
      <w:r>
        <w:continuationSeparator/>
      </w:r>
    </w:p>
    <w:p w:rsidR="000257DF" w:rsidRDefault="000257DF" w:rsidP="005F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98" w:rsidRDefault="00750A98" w:rsidP="005F55F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0A98" w:rsidRDefault="00750A98" w:rsidP="005F55F0">
    <w:pPr>
      <w:pStyle w:val="Footer"/>
    </w:pPr>
  </w:p>
  <w:p w:rsidR="00750A98" w:rsidRDefault="00750A98" w:rsidP="005F55F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98" w:rsidRDefault="008C6FDA" w:rsidP="008C6FDA">
    <w:pPr>
      <w:pStyle w:val="Footer"/>
      <w:jc w:val="left"/>
    </w:pPr>
    <w:r w:rsidRPr="00C958D7">
      <w:rPr>
        <w:color w:val="BFBFBF"/>
        <w:sz w:val="20"/>
        <w:szCs w:val="20"/>
      </w:rPr>
      <w:t>MSC E</w:t>
    </w:r>
    <w:r w:rsidR="00B93166">
      <w:rPr>
        <w:color w:val="BFBFBF"/>
        <w:sz w:val="20"/>
        <w:szCs w:val="20"/>
      </w:rPr>
      <w:t>SR Student _ITN job description_</w:t>
    </w:r>
    <w:r w:rsidRPr="00C958D7">
      <w:rPr>
        <w:color w:val="BFBFBF"/>
        <w:sz w:val="20"/>
        <w:szCs w:val="20"/>
      </w:rPr>
      <w:t>April 2018</w:t>
    </w:r>
    <w:r w:rsidR="00750A98">
      <w:tab/>
    </w:r>
    <w:r w:rsidR="00750A98">
      <w:tab/>
    </w:r>
    <w:r w:rsidR="00750A98">
      <w:fldChar w:fldCharType="begin"/>
    </w:r>
    <w:r w:rsidR="00750A98">
      <w:instrText xml:space="preserve"> PAGE   \* MERGEFORMAT </w:instrText>
    </w:r>
    <w:r w:rsidR="00750A98">
      <w:fldChar w:fldCharType="separate"/>
    </w:r>
    <w:r w:rsidR="00EC3B02">
      <w:rPr>
        <w:noProof/>
      </w:rPr>
      <w:t>2</w:t>
    </w:r>
    <w:r w:rsidR="00750A98">
      <w:fldChar w:fldCharType="end"/>
    </w:r>
  </w:p>
  <w:p w:rsidR="00750A98" w:rsidRDefault="00750A98" w:rsidP="005F55F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04" w:rsidRDefault="00EC3B02">
    <w:pPr>
      <w:pStyle w:val="Footer"/>
    </w:pPr>
    <w:r>
      <w:rPr>
        <w:noProof/>
      </w:rPr>
      <w:drawing>
        <wp:inline distT="0" distB="0" distL="0" distR="0">
          <wp:extent cx="993775" cy="779145"/>
          <wp:effectExtent l="0" t="0" r="0" b="0"/>
          <wp:docPr id="3" name="Picture 3"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logo_employ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779145"/>
                  </a:xfrm>
                  <a:prstGeom prst="rect">
                    <a:avLst/>
                  </a:prstGeom>
                  <a:noFill/>
                  <a:ln>
                    <a:noFill/>
                  </a:ln>
                </pic:spPr>
              </pic:pic>
            </a:graphicData>
          </a:graphic>
        </wp:inline>
      </w:drawing>
    </w:r>
    <w:r w:rsidR="00636837">
      <w:tab/>
      <w:t xml:space="preserve">         </w:t>
    </w:r>
    <w:r>
      <w:rPr>
        <w:noProof/>
      </w:rPr>
      <w:drawing>
        <wp:inline distT="0" distB="0" distL="0" distR="0">
          <wp:extent cx="771525" cy="636270"/>
          <wp:effectExtent l="0" t="0" r="0" b="0"/>
          <wp:docPr id="4" name="Picture 4" descr="stonewall-diversitychampion-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newall-diversitychampion-logo-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36270"/>
                  </a:xfrm>
                  <a:prstGeom prst="rect">
                    <a:avLst/>
                  </a:prstGeom>
                  <a:noFill/>
                  <a:ln>
                    <a:noFill/>
                  </a:ln>
                </pic:spPr>
              </pic:pic>
            </a:graphicData>
          </a:graphic>
        </wp:inline>
      </w:drawing>
    </w:r>
    <w:r w:rsidR="00636837">
      <w:rPr>
        <w:rFonts w:ascii="Verdana" w:hAnsi="Verdana"/>
        <w:color w:val="444444"/>
        <w:sz w:val="17"/>
        <w:szCs w:val="17"/>
      </w:rPr>
      <w:tab/>
      <w:t xml:space="preserve">                </w:t>
    </w:r>
    <w:r>
      <w:rPr>
        <w:rFonts w:ascii="Verdana" w:hAnsi="Verdana"/>
        <w:noProof/>
        <w:color w:val="002D62"/>
        <w:sz w:val="17"/>
        <w:szCs w:val="17"/>
      </w:rPr>
      <w:drawing>
        <wp:inline distT="0" distB="0" distL="0" distR="0">
          <wp:extent cx="668020" cy="723265"/>
          <wp:effectExtent l="0" t="0" r="0" b="0"/>
          <wp:docPr id="5" name="Picture 5" descr="https://www.ox.ac.uk/media/global/wwwoxacuk/localsites/currentvacancies/images/lefthandside/HR_excellence3.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x.ac.uk/media/global/wwwoxacuk/localsites/currentvacancies/images/lefthandside/HR_excellence3.jp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020" cy="723265"/>
                  </a:xfrm>
                  <a:prstGeom prst="rect">
                    <a:avLst/>
                  </a:prstGeom>
                  <a:noFill/>
                  <a:ln>
                    <a:noFill/>
                  </a:ln>
                </pic:spPr>
              </pic:pic>
            </a:graphicData>
          </a:graphic>
        </wp:inline>
      </w:drawing>
    </w:r>
    <w:r w:rsidR="00636837">
      <w:rPr>
        <w:rFonts w:ascii="Verdana" w:hAnsi="Verdana"/>
        <w:color w:val="444444"/>
        <w:sz w:val="17"/>
        <w:szCs w:val="17"/>
      </w:rPr>
      <w:tab/>
      <w:t xml:space="preserve">         </w:t>
    </w:r>
    <w:r>
      <w:rPr>
        <w:rFonts w:cs="Arial"/>
        <w:noProof/>
      </w:rPr>
      <w:drawing>
        <wp:inline distT="0" distB="0" distL="0" distR="0">
          <wp:extent cx="1192530" cy="524510"/>
          <wp:effectExtent l="0" t="0" r="0" b="0"/>
          <wp:docPr id="6" name="Picture 6" descr="AS_RGB_Silver-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_RGB_Silver-Awa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5245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7DF" w:rsidRDefault="000257DF" w:rsidP="005F55F0">
      <w:r>
        <w:separator/>
      </w:r>
    </w:p>
    <w:p w:rsidR="000257DF" w:rsidRDefault="000257DF" w:rsidP="005F55F0"/>
  </w:footnote>
  <w:footnote w:type="continuationSeparator" w:id="0">
    <w:p w:rsidR="000257DF" w:rsidRDefault="000257DF" w:rsidP="005F55F0">
      <w:r>
        <w:continuationSeparator/>
      </w:r>
    </w:p>
    <w:p w:rsidR="000257DF" w:rsidRDefault="000257DF" w:rsidP="005F55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66" w:rsidRDefault="00B93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66" w:rsidRDefault="00B93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6F" w:rsidRDefault="00E04F6F" w:rsidP="00E04F6F">
    <w:pPr>
      <w:pStyle w:val="Header"/>
      <w:tabs>
        <w:tab w:val="clear" w:pos="8306"/>
        <w:tab w:val="right" w:pos="9072"/>
      </w:tabs>
    </w:pPr>
    <w:r w:rsidRPr="005A21EF">
      <w:rPr>
        <w:color w:val="A6A6A6"/>
        <w:sz w:val="28"/>
        <w:szCs w:val="28"/>
      </w:rPr>
      <w:t>Job Description</w:t>
    </w:r>
    <w:r>
      <w:rPr>
        <w:sz w:val="28"/>
        <w:szCs w:val="28"/>
      </w:rPr>
      <w:t xml:space="preserve">                                      </w:t>
    </w:r>
    <w:r w:rsidR="00EC3B02">
      <w:rPr>
        <w:noProof/>
      </w:rPr>
      <w:drawing>
        <wp:inline distT="0" distB="0" distL="0" distR="0">
          <wp:extent cx="1574165" cy="1105535"/>
          <wp:effectExtent l="0" t="0" r="0" b="0"/>
          <wp:docPr id="1" name="Picture 1" descr="EP-logo-cols-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logo-cols-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1105535"/>
                  </a:xfrm>
                  <a:prstGeom prst="rect">
                    <a:avLst/>
                  </a:prstGeom>
                  <a:noFill/>
                  <a:ln>
                    <a:noFill/>
                  </a:ln>
                </pic:spPr>
              </pic:pic>
            </a:graphicData>
          </a:graphic>
        </wp:inline>
      </w:drawing>
    </w:r>
    <w:r>
      <w:t xml:space="preserve">   </w:t>
    </w:r>
    <w:r w:rsidR="00EC3B02">
      <w:rPr>
        <w:noProof/>
      </w:rPr>
      <w:drawing>
        <wp:inline distT="0" distB="0" distL="0" distR="0">
          <wp:extent cx="1097280" cy="1097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rsidR="00E04F6F" w:rsidRPr="00315799" w:rsidRDefault="00E04F6F" w:rsidP="00E04F6F">
    <w:pPr>
      <w:pStyle w:val="Header"/>
      <w:tabs>
        <w:tab w:val="clear" w:pos="8306"/>
        <w:tab w:val="right" w:pos="9072"/>
      </w:tabs>
    </w:pPr>
    <w:r w:rsidRPr="00315799">
      <w:rPr>
        <w:b/>
      </w:rPr>
      <w:t>_____________________________________________</w:t>
    </w:r>
    <w:r>
      <w:rPr>
        <w:b/>
      </w:rPr>
      <w:t>_________________</w:t>
    </w:r>
    <w:r w:rsidRPr="00315799">
      <w:rPr>
        <w:b/>
      </w:rPr>
      <w:t>_</w:t>
    </w:r>
    <w:r>
      <w:rPr>
        <w:b/>
      </w:rPr>
      <w:t>___</w:t>
    </w:r>
    <w:r w:rsidRPr="00315799">
      <w:rPr>
        <w:b/>
      </w:rPr>
      <w:t>_______</w:t>
    </w:r>
  </w:p>
  <w:p w:rsidR="00E52A6B" w:rsidRPr="005A21EF" w:rsidRDefault="00E04F6F" w:rsidP="00E52A6B">
    <w:pPr>
      <w:pStyle w:val="Header"/>
      <w:tabs>
        <w:tab w:val="clear" w:pos="576"/>
        <w:tab w:val="clear" w:pos="1152"/>
        <w:tab w:val="clear" w:pos="1728"/>
        <w:tab w:val="clear" w:pos="4153"/>
        <w:tab w:val="clear" w:pos="5760"/>
        <w:tab w:val="clear" w:pos="8306"/>
      </w:tabs>
      <w:spacing w:before="60"/>
      <w:rPr>
        <w:color w:val="A6A6A6"/>
        <w:szCs w:val="22"/>
      </w:rPr>
    </w:pPr>
    <w:r w:rsidRPr="005A21EF">
      <w:rPr>
        <w:color w:val="A6A6A6"/>
        <w:szCs w:val="22"/>
      </w:rPr>
      <w:t>DEPARTMENT OF EXPERIMENTAL PSYCHOLOGY</w:t>
    </w:r>
  </w:p>
  <w:p w:rsidR="00750A98" w:rsidRPr="00E04F6F" w:rsidRDefault="00750A98" w:rsidP="00E04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37B"/>
    <w:multiLevelType w:val="hybridMultilevel"/>
    <w:tmpl w:val="9FCAB4C8"/>
    <w:lvl w:ilvl="0" w:tplc="04090001">
      <w:start w:val="1"/>
      <w:numFmt w:val="bullet"/>
      <w:lvlText w:val=""/>
      <w:lvlJc w:val="left"/>
      <w:pPr>
        <w:tabs>
          <w:tab w:val="num" w:pos="360"/>
        </w:tabs>
        <w:ind w:left="36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2EB0"/>
    <w:multiLevelType w:val="hybridMultilevel"/>
    <w:tmpl w:val="853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B455C"/>
    <w:multiLevelType w:val="hybridMultilevel"/>
    <w:tmpl w:val="B95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54F35"/>
    <w:multiLevelType w:val="hybridMultilevel"/>
    <w:tmpl w:val="D67CD1DC"/>
    <w:lvl w:ilvl="0" w:tplc="1A2445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7F102B"/>
    <w:multiLevelType w:val="hybridMultilevel"/>
    <w:tmpl w:val="E72C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504B2"/>
    <w:multiLevelType w:val="hybridMultilevel"/>
    <w:tmpl w:val="859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765E9"/>
    <w:multiLevelType w:val="hybridMultilevel"/>
    <w:tmpl w:val="D17C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83319"/>
    <w:multiLevelType w:val="hybridMultilevel"/>
    <w:tmpl w:val="1C9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C31E0"/>
    <w:multiLevelType w:val="hybridMultilevel"/>
    <w:tmpl w:val="1AB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8048E"/>
    <w:multiLevelType w:val="hybridMultilevel"/>
    <w:tmpl w:val="4EA8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6DBB"/>
    <w:multiLevelType w:val="hybridMultilevel"/>
    <w:tmpl w:val="C0A4F79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3" w15:restartNumberingAfterBreak="0">
    <w:nsid w:val="69E84655"/>
    <w:multiLevelType w:val="hybridMultilevel"/>
    <w:tmpl w:val="CEFA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1044A"/>
    <w:multiLevelType w:val="hybridMultilevel"/>
    <w:tmpl w:val="51EE85E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D4F1D89"/>
    <w:multiLevelType w:val="hybridMultilevel"/>
    <w:tmpl w:val="8AB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2"/>
  </w:num>
  <w:num w:numId="5">
    <w:abstractNumId w:val="5"/>
  </w:num>
  <w:num w:numId="6">
    <w:abstractNumId w:val="10"/>
  </w:num>
  <w:num w:numId="7">
    <w:abstractNumId w:val="15"/>
  </w:num>
  <w:num w:numId="8">
    <w:abstractNumId w:val="7"/>
  </w:num>
  <w:num w:numId="9">
    <w:abstractNumId w:val="13"/>
  </w:num>
  <w:num w:numId="10">
    <w:abstractNumId w:val="14"/>
  </w:num>
  <w:num w:numId="11">
    <w:abstractNumId w:val="0"/>
  </w:num>
  <w:num w:numId="12">
    <w:abstractNumId w:val="1"/>
  </w:num>
  <w:num w:numId="13">
    <w:abstractNumId w:val="9"/>
  </w:num>
  <w:num w:numId="14">
    <w:abstractNumId w:val="11"/>
  </w:num>
  <w:num w:numId="15">
    <w:abstractNumId w:val="2"/>
  </w:num>
  <w:num w:numId="1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51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D3"/>
    <w:rsid w:val="00002146"/>
    <w:rsid w:val="00007242"/>
    <w:rsid w:val="0002123D"/>
    <w:rsid w:val="000216DD"/>
    <w:rsid w:val="00022F92"/>
    <w:rsid w:val="000257DF"/>
    <w:rsid w:val="00025FAE"/>
    <w:rsid w:val="00032A08"/>
    <w:rsid w:val="00035D42"/>
    <w:rsid w:val="0004220D"/>
    <w:rsid w:val="00042F4A"/>
    <w:rsid w:val="00043286"/>
    <w:rsid w:val="00043D30"/>
    <w:rsid w:val="00054AF8"/>
    <w:rsid w:val="00056B0F"/>
    <w:rsid w:val="000573DF"/>
    <w:rsid w:val="000674E8"/>
    <w:rsid w:val="00070267"/>
    <w:rsid w:val="000751D4"/>
    <w:rsid w:val="0007690B"/>
    <w:rsid w:val="00076A68"/>
    <w:rsid w:val="00082FD2"/>
    <w:rsid w:val="00084176"/>
    <w:rsid w:val="00085AE1"/>
    <w:rsid w:val="000863D6"/>
    <w:rsid w:val="000907BB"/>
    <w:rsid w:val="00092ECD"/>
    <w:rsid w:val="0009519B"/>
    <w:rsid w:val="000960C0"/>
    <w:rsid w:val="000A0ECD"/>
    <w:rsid w:val="000A3DAC"/>
    <w:rsid w:val="000B2317"/>
    <w:rsid w:val="000B3580"/>
    <w:rsid w:val="000B43A9"/>
    <w:rsid w:val="000B63D6"/>
    <w:rsid w:val="000C16B1"/>
    <w:rsid w:val="000D07A9"/>
    <w:rsid w:val="000F2751"/>
    <w:rsid w:val="000F6E43"/>
    <w:rsid w:val="00105CAD"/>
    <w:rsid w:val="001126F5"/>
    <w:rsid w:val="00113FF4"/>
    <w:rsid w:val="00115386"/>
    <w:rsid w:val="001176BE"/>
    <w:rsid w:val="00120561"/>
    <w:rsid w:val="00121E03"/>
    <w:rsid w:val="001239CD"/>
    <w:rsid w:val="001246A4"/>
    <w:rsid w:val="0013428D"/>
    <w:rsid w:val="00134549"/>
    <w:rsid w:val="00134EE7"/>
    <w:rsid w:val="00137ADE"/>
    <w:rsid w:val="0014157B"/>
    <w:rsid w:val="00142FC5"/>
    <w:rsid w:val="00144A3F"/>
    <w:rsid w:val="00144EC4"/>
    <w:rsid w:val="00146CC2"/>
    <w:rsid w:val="0014707D"/>
    <w:rsid w:val="00147104"/>
    <w:rsid w:val="00150A4E"/>
    <w:rsid w:val="00150E32"/>
    <w:rsid w:val="0015375E"/>
    <w:rsid w:val="00156895"/>
    <w:rsid w:val="0016419D"/>
    <w:rsid w:val="0016547A"/>
    <w:rsid w:val="00170F84"/>
    <w:rsid w:val="00184C02"/>
    <w:rsid w:val="00186C59"/>
    <w:rsid w:val="00197EDD"/>
    <w:rsid w:val="001B00EE"/>
    <w:rsid w:val="001B0B27"/>
    <w:rsid w:val="001C4C25"/>
    <w:rsid w:val="001C5B33"/>
    <w:rsid w:val="001D5F6A"/>
    <w:rsid w:val="001E0A34"/>
    <w:rsid w:val="001E62FF"/>
    <w:rsid w:val="00200754"/>
    <w:rsid w:val="00202592"/>
    <w:rsid w:val="0020363F"/>
    <w:rsid w:val="00210019"/>
    <w:rsid w:val="00221DC6"/>
    <w:rsid w:val="002236EE"/>
    <w:rsid w:val="00225BCC"/>
    <w:rsid w:val="002313D7"/>
    <w:rsid w:val="00237F2B"/>
    <w:rsid w:val="002420E2"/>
    <w:rsid w:val="0024330C"/>
    <w:rsid w:val="00250752"/>
    <w:rsid w:val="0025750D"/>
    <w:rsid w:val="00263A90"/>
    <w:rsid w:val="00264D09"/>
    <w:rsid w:val="00266B59"/>
    <w:rsid w:val="00273B9A"/>
    <w:rsid w:val="00274DF2"/>
    <w:rsid w:val="0027589E"/>
    <w:rsid w:val="002758E2"/>
    <w:rsid w:val="00280E73"/>
    <w:rsid w:val="00285F7D"/>
    <w:rsid w:val="00287004"/>
    <w:rsid w:val="00290BB8"/>
    <w:rsid w:val="00291957"/>
    <w:rsid w:val="002924A5"/>
    <w:rsid w:val="0029366D"/>
    <w:rsid w:val="00293EF2"/>
    <w:rsid w:val="002A3C14"/>
    <w:rsid w:val="002A44C8"/>
    <w:rsid w:val="002A512A"/>
    <w:rsid w:val="002A5B1D"/>
    <w:rsid w:val="002A6F79"/>
    <w:rsid w:val="002B64D2"/>
    <w:rsid w:val="002B7854"/>
    <w:rsid w:val="002C1B3A"/>
    <w:rsid w:val="002C2E5E"/>
    <w:rsid w:val="002C2F9C"/>
    <w:rsid w:val="002C3627"/>
    <w:rsid w:val="002C4587"/>
    <w:rsid w:val="002C512B"/>
    <w:rsid w:val="002D6523"/>
    <w:rsid w:val="002E0D96"/>
    <w:rsid w:val="002E4C18"/>
    <w:rsid w:val="002E741B"/>
    <w:rsid w:val="002E7B97"/>
    <w:rsid w:val="002F1C3B"/>
    <w:rsid w:val="002F1EEA"/>
    <w:rsid w:val="002F490A"/>
    <w:rsid w:val="0031345E"/>
    <w:rsid w:val="00315799"/>
    <w:rsid w:val="0031730E"/>
    <w:rsid w:val="0032054F"/>
    <w:rsid w:val="00321E9C"/>
    <w:rsid w:val="00322411"/>
    <w:rsid w:val="00331A91"/>
    <w:rsid w:val="00341595"/>
    <w:rsid w:val="003422D3"/>
    <w:rsid w:val="0035230D"/>
    <w:rsid w:val="00355878"/>
    <w:rsid w:val="00356DEE"/>
    <w:rsid w:val="00360C77"/>
    <w:rsid w:val="00361ADB"/>
    <w:rsid w:val="00363BA6"/>
    <w:rsid w:val="00367279"/>
    <w:rsid w:val="00372E56"/>
    <w:rsid w:val="003800D1"/>
    <w:rsid w:val="003814A6"/>
    <w:rsid w:val="00390CF5"/>
    <w:rsid w:val="00396295"/>
    <w:rsid w:val="00397B44"/>
    <w:rsid w:val="003A31EB"/>
    <w:rsid w:val="003A44C7"/>
    <w:rsid w:val="003A44D7"/>
    <w:rsid w:val="003A4CFA"/>
    <w:rsid w:val="003B3A25"/>
    <w:rsid w:val="003C402B"/>
    <w:rsid w:val="003C6CD4"/>
    <w:rsid w:val="003C72D7"/>
    <w:rsid w:val="003F30E7"/>
    <w:rsid w:val="003F7EF7"/>
    <w:rsid w:val="00404D6A"/>
    <w:rsid w:val="00410B77"/>
    <w:rsid w:val="00411AE0"/>
    <w:rsid w:val="00422A79"/>
    <w:rsid w:val="0042462D"/>
    <w:rsid w:val="004250DE"/>
    <w:rsid w:val="004305B3"/>
    <w:rsid w:val="00431770"/>
    <w:rsid w:val="0043311B"/>
    <w:rsid w:val="00434FFE"/>
    <w:rsid w:val="00435469"/>
    <w:rsid w:val="00443966"/>
    <w:rsid w:val="00443B0B"/>
    <w:rsid w:val="00443B5F"/>
    <w:rsid w:val="00444A12"/>
    <w:rsid w:val="004477C4"/>
    <w:rsid w:val="00461F02"/>
    <w:rsid w:val="004645CA"/>
    <w:rsid w:val="0046749C"/>
    <w:rsid w:val="004729A6"/>
    <w:rsid w:val="00474F00"/>
    <w:rsid w:val="00477BED"/>
    <w:rsid w:val="004810BC"/>
    <w:rsid w:val="004810E2"/>
    <w:rsid w:val="00481E85"/>
    <w:rsid w:val="00484208"/>
    <w:rsid w:val="0048577C"/>
    <w:rsid w:val="004926EE"/>
    <w:rsid w:val="00493413"/>
    <w:rsid w:val="00494FEF"/>
    <w:rsid w:val="00496D7B"/>
    <w:rsid w:val="004A27A4"/>
    <w:rsid w:val="004A365E"/>
    <w:rsid w:val="004A455A"/>
    <w:rsid w:val="004C14C4"/>
    <w:rsid w:val="004C2869"/>
    <w:rsid w:val="004C38FE"/>
    <w:rsid w:val="004C5332"/>
    <w:rsid w:val="004D0A65"/>
    <w:rsid w:val="004D3C89"/>
    <w:rsid w:val="004D4641"/>
    <w:rsid w:val="004D75BE"/>
    <w:rsid w:val="004E3BD4"/>
    <w:rsid w:val="004E58D8"/>
    <w:rsid w:val="004E6372"/>
    <w:rsid w:val="004F2A8F"/>
    <w:rsid w:val="004F6AF7"/>
    <w:rsid w:val="00500A54"/>
    <w:rsid w:val="0050365B"/>
    <w:rsid w:val="005143CF"/>
    <w:rsid w:val="005179E9"/>
    <w:rsid w:val="005221F8"/>
    <w:rsid w:val="00522E85"/>
    <w:rsid w:val="005261A5"/>
    <w:rsid w:val="0053703D"/>
    <w:rsid w:val="005377A6"/>
    <w:rsid w:val="005423C6"/>
    <w:rsid w:val="00542720"/>
    <w:rsid w:val="00560EFF"/>
    <w:rsid w:val="00572069"/>
    <w:rsid w:val="00573323"/>
    <w:rsid w:val="005752CE"/>
    <w:rsid w:val="005777A2"/>
    <w:rsid w:val="0058232E"/>
    <w:rsid w:val="0058260A"/>
    <w:rsid w:val="00585539"/>
    <w:rsid w:val="005857F4"/>
    <w:rsid w:val="005A11A2"/>
    <w:rsid w:val="005A7F75"/>
    <w:rsid w:val="005B1757"/>
    <w:rsid w:val="005B2113"/>
    <w:rsid w:val="005B2B73"/>
    <w:rsid w:val="005B584B"/>
    <w:rsid w:val="005C2F56"/>
    <w:rsid w:val="005C64F1"/>
    <w:rsid w:val="005C6CD3"/>
    <w:rsid w:val="005E3FAD"/>
    <w:rsid w:val="005F0337"/>
    <w:rsid w:val="005F55F0"/>
    <w:rsid w:val="00602C5B"/>
    <w:rsid w:val="00602CBF"/>
    <w:rsid w:val="0060354F"/>
    <w:rsid w:val="006104F2"/>
    <w:rsid w:val="00616E49"/>
    <w:rsid w:val="00624151"/>
    <w:rsid w:val="00624981"/>
    <w:rsid w:val="00636837"/>
    <w:rsid w:val="006414D6"/>
    <w:rsid w:val="006427B2"/>
    <w:rsid w:val="00642EA2"/>
    <w:rsid w:val="00646F62"/>
    <w:rsid w:val="006678BC"/>
    <w:rsid w:val="006701B3"/>
    <w:rsid w:val="006763CD"/>
    <w:rsid w:val="00677142"/>
    <w:rsid w:val="00687A05"/>
    <w:rsid w:val="00696CA8"/>
    <w:rsid w:val="006A1D70"/>
    <w:rsid w:val="006A638E"/>
    <w:rsid w:val="006B719A"/>
    <w:rsid w:val="006C394C"/>
    <w:rsid w:val="006C6543"/>
    <w:rsid w:val="006D01B1"/>
    <w:rsid w:val="006D1C12"/>
    <w:rsid w:val="006E01BA"/>
    <w:rsid w:val="006E155E"/>
    <w:rsid w:val="006E1A4C"/>
    <w:rsid w:val="006E78B9"/>
    <w:rsid w:val="006F3EE9"/>
    <w:rsid w:val="007014F6"/>
    <w:rsid w:val="00707A0F"/>
    <w:rsid w:val="00712614"/>
    <w:rsid w:val="00714845"/>
    <w:rsid w:val="00716AA7"/>
    <w:rsid w:val="00717904"/>
    <w:rsid w:val="00720252"/>
    <w:rsid w:val="00720EAB"/>
    <w:rsid w:val="0072197C"/>
    <w:rsid w:val="007226F5"/>
    <w:rsid w:val="00724584"/>
    <w:rsid w:val="00725887"/>
    <w:rsid w:val="007300A0"/>
    <w:rsid w:val="00735196"/>
    <w:rsid w:val="007370BA"/>
    <w:rsid w:val="007408C8"/>
    <w:rsid w:val="00750A98"/>
    <w:rsid w:val="0075346D"/>
    <w:rsid w:val="00753876"/>
    <w:rsid w:val="00765406"/>
    <w:rsid w:val="0076580E"/>
    <w:rsid w:val="00771046"/>
    <w:rsid w:val="00776273"/>
    <w:rsid w:val="00777742"/>
    <w:rsid w:val="007850C9"/>
    <w:rsid w:val="0078519E"/>
    <w:rsid w:val="007865CE"/>
    <w:rsid w:val="00790540"/>
    <w:rsid w:val="00790F9D"/>
    <w:rsid w:val="0079556A"/>
    <w:rsid w:val="007A1FF0"/>
    <w:rsid w:val="007A6BF8"/>
    <w:rsid w:val="007B218C"/>
    <w:rsid w:val="007B299D"/>
    <w:rsid w:val="007B34AA"/>
    <w:rsid w:val="007B5A54"/>
    <w:rsid w:val="007B61B5"/>
    <w:rsid w:val="007B710E"/>
    <w:rsid w:val="007D3411"/>
    <w:rsid w:val="007E3D42"/>
    <w:rsid w:val="007E58EB"/>
    <w:rsid w:val="007F498E"/>
    <w:rsid w:val="007F6283"/>
    <w:rsid w:val="00802FA3"/>
    <w:rsid w:val="00804520"/>
    <w:rsid w:val="00805CFC"/>
    <w:rsid w:val="00820A50"/>
    <w:rsid w:val="008229A1"/>
    <w:rsid w:val="00830E12"/>
    <w:rsid w:val="008321E4"/>
    <w:rsid w:val="008336AA"/>
    <w:rsid w:val="00835F00"/>
    <w:rsid w:val="008426C8"/>
    <w:rsid w:val="00847DFC"/>
    <w:rsid w:val="00860D8D"/>
    <w:rsid w:val="00863296"/>
    <w:rsid w:val="00865CE1"/>
    <w:rsid w:val="00872655"/>
    <w:rsid w:val="00875A73"/>
    <w:rsid w:val="00877459"/>
    <w:rsid w:val="008920C4"/>
    <w:rsid w:val="008A3B2D"/>
    <w:rsid w:val="008A77BB"/>
    <w:rsid w:val="008B74E8"/>
    <w:rsid w:val="008C1A72"/>
    <w:rsid w:val="008C4640"/>
    <w:rsid w:val="008C6FDA"/>
    <w:rsid w:val="008E162C"/>
    <w:rsid w:val="008E5EBB"/>
    <w:rsid w:val="008F2034"/>
    <w:rsid w:val="008F3F55"/>
    <w:rsid w:val="008F5600"/>
    <w:rsid w:val="0090312A"/>
    <w:rsid w:val="00905E03"/>
    <w:rsid w:val="00906666"/>
    <w:rsid w:val="00912B02"/>
    <w:rsid w:val="009141D5"/>
    <w:rsid w:val="009147EA"/>
    <w:rsid w:val="00920DA3"/>
    <w:rsid w:val="00921D08"/>
    <w:rsid w:val="0092655D"/>
    <w:rsid w:val="00927313"/>
    <w:rsid w:val="00937848"/>
    <w:rsid w:val="00941228"/>
    <w:rsid w:val="009435FC"/>
    <w:rsid w:val="00943DA3"/>
    <w:rsid w:val="00945560"/>
    <w:rsid w:val="009553C8"/>
    <w:rsid w:val="0096326F"/>
    <w:rsid w:val="00965FF3"/>
    <w:rsid w:val="00971A39"/>
    <w:rsid w:val="00973106"/>
    <w:rsid w:val="00981BA2"/>
    <w:rsid w:val="00985A85"/>
    <w:rsid w:val="00985F0E"/>
    <w:rsid w:val="0099048C"/>
    <w:rsid w:val="009907C7"/>
    <w:rsid w:val="009A147E"/>
    <w:rsid w:val="009A49D7"/>
    <w:rsid w:val="009B0BE6"/>
    <w:rsid w:val="009B576D"/>
    <w:rsid w:val="009B7F99"/>
    <w:rsid w:val="009C44AB"/>
    <w:rsid w:val="009C65A1"/>
    <w:rsid w:val="009D1659"/>
    <w:rsid w:val="009D1749"/>
    <w:rsid w:val="009D27B9"/>
    <w:rsid w:val="009D3471"/>
    <w:rsid w:val="009E0482"/>
    <w:rsid w:val="009E1A40"/>
    <w:rsid w:val="009E771B"/>
    <w:rsid w:val="009F1738"/>
    <w:rsid w:val="009F23F8"/>
    <w:rsid w:val="009F2B14"/>
    <w:rsid w:val="009F454C"/>
    <w:rsid w:val="009F51BC"/>
    <w:rsid w:val="009F5DE2"/>
    <w:rsid w:val="00A0148E"/>
    <w:rsid w:val="00A03D85"/>
    <w:rsid w:val="00A32EC9"/>
    <w:rsid w:val="00A352A7"/>
    <w:rsid w:val="00A472C0"/>
    <w:rsid w:val="00A4745F"/>
    <w:rsid w:val="00A53900"/>
    <w:rsid w:val="00A601D6"/>
    <w:rsid w:val="00A603AC"/>
    <w:rsid w:val="00A73C1D"/>
    <w:rsid w:val="00A74521"/>
    <w:rsid w:val="00A74C09"/>
    <w:rsid w:val="00A750BD"/>
    <w:rsid w:val="00A75CA8"/>
    <w:rsid w:val="00A84A9F"/>
    <w:rsid w:val="00A86387"/>
    <w:rsid w:val="00A8677F"/>
    <w:rsid w:val="00A86944"/>
    <w:rsid w:val="00A92C61"/>
    <w:rsid w:val="00A9560D"/>
    <w:rsid w:val="00AA60D7"/>
    <w:rsid w:val="00AA768A"/>
    <w:rsid w:val="00AC10E9"/>
    <w:rsid w:val="00AC1646"/>
    <w:rsid w:val="00AD3587"/>
    <w:rsid w:val="00AE2307"/>
    <w:rsid w:val="00AE66D6"/>
    <w:rsid w:val="00AF0B96"/>
    <w:rsid w:val="00AF3D73"/>
    <w:rsid w:val="00AF3FD7"/>
    <w:rsid w:val="00B04AAA"/>
    <w:rsid w:val="00B06785"/>
    <w:rsid w:val="00B077BD"/>
    <w:rsid w:val="00B11BF9"/>
    <w:rsid w:val="00B11DB4"/>
    <w:rsid w:val="00B176D5"/>
    <w:rsid w:val="00B177E5"/>
    <w:rsid w:val="00B23EC8"/>
    <w:rsid w:val="00B3172C"/>
    <w:rsid w:val="00B31BD5"/>
    <w:rsid w:val="00B3310F"/>
    <w:rsid w:val="00B51AC6"/>
    <w:rsid w:val="00B65486"/>
    <w:rsid w:val="00B73289"/>
    <w:rsid w:val="00B74278"/>
    <w:rsid w:val="00B80195"/>
    <w:rsid w:val="00B81B51"/>
    <w:rsid w:val="00B82257"/>
    <w:rsid w:val="00B84969"/>
    <w:rsid w:val="00B91B46"/>
    <w:rsid w:val="00B93166"/>
    <w:rsid w:val="00B953FA"/>
    <w:rsid w:val="00BA19F5"/>
    <w:rsid w:val="00BA4695"/>
    <w:rsid w:val="00BA7005"/>
    <w:rsid w:val="00BB038F"/>
    <w:rsid w:val="00BB6FD7"/>
    <w:rsid w:val="00BB78E5"/>
    <w:rsid w:val="00BC1E3B"/>
    <w:rsid w:val="00BC4304"/>
    <w:rsid w:val="00BC4698"/>
    <w:rsid w:val="00BD3282"/>
    <w:rsid w:val="00BD35D8"/>
    <w:rsid w:val="00BD52E5"/>
    <w:rsid w:val="00BE6286"/>
    <w:rsid w:val="00BF3A7F"/>
    <w:rsid w:val="00BF3B22"/>
    <w:rsid w:val="00C03182"/>
    <w:rsid w:val="00C0373D"/>
    <w:rsid w:val="00C03809"/>
    <w:rsid w:val="00C04FE4"/>
    <w:rsid w:val="00C05978"/>
    <w:rsid w:val="00C06AFF"/>
    <w:rsid w:val="00C100D4"/>
    <w:rsid w:val="00C12303"/>
    <w:rsid w:val="00C13B97"/>
    <w:rsid w:val="00C23501"/>
    <w:rsid w:val="00C248D5"/>
    <w:rsid w:val="00C24B2F"/>
    <w:rsid w:val="00C33AA2"/>
    <w:rsid w:val="00C37AE2"/>
    <w:rsid w:val="00C44918"/>
    <w:rsid w:val="00C5053D"/>
    <w:rsid w:val="00C56034"/>
    <w:rsid w:val="00C61B3A"/>
    <w:rsid w:val="00C64F66"/>
    <w:rsid w:val="00C72F66"/>
    <w:rsid w:val="00C775DE"/>
    <w:rsid w:val="00C8215C"/>
    <w:rsid w:val="00C87BF1"/>
    <w:rsid w:val="00C9489F"/>
    <w:rsid w:val="00C958D7"/>
    <w:rsid w:val="00C97C73"/>
    <w:rsid w:val="00CA2117"/>
    <w:rsid w:val="00CA3B97"/>
    <w:rsid w:val="00CA530D"/>
    <w:rsid w:val="00CA62DE"/>
    <w:rsid w:val="00CB29DB"/>
    <w:rsid w:val="00CC0474"/>
    <w:rsid w:val="00CD259D"/>
    <w:rsid w:val="00CD4EEB"/>
    <w:rsid w:val="00CD6D5A"/>
    <w:rsid w:val="00CE154C"/>
    <w:rsid w:val="00CE2D62"/>
    <w:rsid w:val="00CE6F35"/>
    <w:rsid w:val="00CF08D3"/>
    <w:rsid w:val="00D02A8B"/>
    <w:rsid w:val="00D061E0"/>
    <w:rsid w:val="00D116F8"/>
    <w:rsid w:val="00D15B0E"/>
    <w:rsid w:val="00D2047E"/>
    <w:rsid w:val="00D21F62"/>
    <w:rsid w:val="00D24BA0"/>
    <w:rsid w:val="00D2505F"/>
    <w:rsid w:val="00D37FA6"/>
    <w:rsid w:val="00D43A72"/>
    <w:rsid w:val="00D43C26"/>
    <w:rsid w:val="00D4723A"/>
    <w:rsid w:val="00D47EE2"/>
    <w:rsid w:val="00D53579"/>
    <w:rsid w:val="00D540D0"/>
    <w:rsid w:val="00D56331"/>
    <w:rsid w:val="00D575C9"/>
    <w:rsid w:val="00D61D82"/>
    <w:rsid w:val="00D62F0F"/>
    <w:rsid w:val="00D71B5A"/>
    <w:rsid w:val="00D730A1"/>
    <w:rsid w:val="00D73561"/>
    <w:rsid w:val="00D75144"/>
    <w:rsid w:val="00D81E3A"/>
    <w:rsid w:val="00D95E9D"/>
    <w:rsid w:val="00DA31C8"/>
    <w:rsid w:val="00DA6B8C"/>
    <w:rsid w:val="00DB38AF"/>
    <w:rsid w:val="00DC0151"/>
    <w:rsid w:val="00DC09FC"/>
    <w:rsid w:val="00DD0A51"/>
    <w:rsid w:val="00DE00AF"/>
    <w:rsid w:val="00E00B66"/>
    <w:rsid w:val="00E04919"/>
    <w:rsid w:val="00E04F6F"/>
    <w:rsid w:val="00E069D4"/>
    <w:rsid w:val="00E1512B"/>
    <w:rsid w:val="00E1750E"/>
    <w:rsid w:val="00E271CB"/>
    <w:rsid w:val="00E276C1"/>
    <w:rsid w:val="00E329D4"/>
    <w:rsid w:val="00E33E48"/>
    <w:rsid w:val="00E351F3"/>
    <w:rsid w:val="00E37293"/>
    <w:rsid w:val="00E47F20"/>
    <w:rsid w:val="00E52A6B"/>
    <w:rsid w:val="00E53AAC"/>
    <w:rsid w:val="00E53FFD"/>
    <w:rsid w:val="00E5406B"/>
    <w:rsid w:val="00E608DA"/>
    <w:rsid w:val="00E612D2"/>
    <w:rsid w:val="00E61766"/>
    <w:rsid w:val="00E6554C"/>
    <w:rsid w:val="00E65722"/>
    <w:rsid w:val="00E727E7"/>
    <w:rsid w:val="00E85030"/>
    <w:rsid w:val="00E8609C"/>
    <w:rsid w:val="00E86A70"/>
    <w:rsid w:val="00E94172"/>
    <w:rsid w:val="00E949E4"/>
    <w:rsid w:val="00EA528D"/>
    <w:rsid w:val="00EA73CA"/>
    <w:rsid w:val="00EB6611"/>
    <w:rsid w:val="00EC3B02"/>
    <w:rsid w:val="00EC53AF"/>
    <w:rsid w:val="00ED4A79"/>
    <w:rsid w:val="00ED5C40"/>
    <w:rsid w:val="00ED76CF"/>
    <w:rsid w:val="00ED7E1D"/>
    <w:rsid w:val="00EE116A"/>
    <w:rsid w:val="00EF34E1"/>
    <w:rsid w:val="00F06FCE"/>
    <w:rsid w:val="00F167B4"/>
    <w:rsid w:val="00F21582"/>
    <w:rsid w:val="00F32E18"/>
    <w:rsid w:val="00F3499C"/>
    <w:rsid w:val="00F35607"/>
    <w:rsid w:val="00F40F71"/>
    <w:rsid w:val="00F501FF"/>
    <w:rsid w:val="00F5388F"/>
    <w:rsid w:val="00F56D5C"/>
    <w:rsid w:val="00F60086"/>
    <w:rsid w:val="00F647F4"/>
    <w:rsid w:val="00F669BC"/>
    <w:rsid w:val="00F67DDC"/>
    <w:rsid w:val="00F779EC"/>
    <w:rsid w:val="00F80870"/>
    <w:rsid w:val="00F82495"/>
    <w:rsid w:val="00F8656A"/>
    <w:rsid w:val="00F90143"/>
    <w:rsid w:val="00F90FF6"/>
    <w:rsid w:val="00FA2023"/>
    <w:rsid w:val="00FA38B3"/>
    <w:rsid w:val="00FB43BA"/>
    <w:rsid w:val="00FB48F4"/>
    <w:rsid w:val="00FC4352"/>
    <w:rsid w:val="00FC642C"/>
    <w:rsid w:val="00FC683A"/>
    <w:rsid w:val="00FD2962"/>
    <w:rsid w:val="00FD5552"/>
    <w:rsid w:val="00FD5B66"/>
    <w:rsid w:val="00FE044A"/>
    <w:rsid w:val="00FE2805"/>
    <w:rsid w:val="00FE4358"/>
    <w:rsid w:val="00FF07C8"/>
    <w:rsid w:val="00FF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7"/>
    <o:shapelayout v:ext="edit">
      <o:idmap v:ext="edit" data="1"/>
    </o:shapelayout>
  </w:shapeDefaults>
  <w:decimalSymbol w:val="."/>
  <w:listSeparator w:val=","/>
  <w15:docId w15:val="{EDDBD779-64C7-4F04-B444-BD263B2E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242"/>
    <w:pPr>
      <w:tabs>
        <w:tab w:val="left" w:pos="576"/>
        <w:tab w:val="left" w:pos="1152"/>
        <w:tab w:val="left" w:pos="1728"/>
        <w:tab w:val="left" w:pos="5760"/>
      </w:tabs>
      <w:suppressAutoHyphens/>
      <w:spacing w:line="240" w:lineRule="atLeast"/>
      <w:jc w:val="both"/>
    </w:pPr>
    <w:rPr>
      <w:rFonts w:ascii="Arial" w:hAnsi="Arial"/>
      <w:sz w:val="22"/>
      <w:szCs w:val="24"/>
    </w:rPr>
  </w:style>
  <w:style w:type="paragraph" w:styleId="Heading1">
    <w:name w:val="heading 1"/>
    <w:basedOn w:val="Normal"/>
    <w:next w:val="Normal"/>
    <w:link w:val="Heading1Char"/>
    <w:uiPriority w:val="9"/>
    <w:qFormat/>
    <w:rsid w:val="00474F00"/>
    <w:pPr>
      <w:keepNext/>
      <w:keepLines/>
      <w:spacing w:before="480"/>
      <w:outlineLvl w:val="0"/>
    </w:pPr>
    <w:rPr>
      <w:b/>
      <w:bCs/>
      <w:sz w:val="44"/>
      <w:szCs w:val="44"/>
    </w:rPr>
  </w:style>
  <w:style w:type="paragraph" w:styleId="Heading2">
    <w:name w:val="heading 2"/>
    <w:basedOn w:val="Normal"/>
    <w:qFormat/>
    <w:rsid w:val="0090312A"/>
    <w:pPr>
      <w:spacing w:before="432" w:after="120" w:line="240" w:lineRule="auto"/>
      <w:outlineLvl w:val="1"/>
    </w:pPr>
    <w:rPr>
      <w:rFonts w:cs="Arial"/>
      <w:b/>
      <w:bCs/>
      <w:sz w:val="28"/>
      <w:szCs w:val="36"/>
    </w:rPr>
  </w:style>
  <w:style w:type="paragraph" w:styleId="Heading3">
    <w:name w:val="heading 3"/>
    <w:basedOn w:val="Normal"/>
    <w:next w:val="Normal"/>
    <w:link w:val="Heading3Char"/>
    <w:uiPriority w:val="9"/>
    <w:unhideWhenUsed/>
    <w:qFormat/>
    <w:rsid w:val="00007242"/>
    <w:pPr>
      <w:keepNext/>
      <w:keepLines/>
      <w:spacing w:before="80"/>
      <w:outlineLvl w:val="2"/>
    </w:pPr>
    <w:rPr>
      <w:rFonts w:cs="Arial"/>
      <w:b/>
      <w:bCs/>
      <w:sz w:val="24"/>
      <w:szCs w:val="28"/>
    </w:rPr>
  </w:style>
  <w:style w:type="paragraph" w:styleId="Heading4">
    <w:name w:val="heading 4"/>
    <w:basedOn w:val="NormalWeb"/>
    <w:next w:val="Normal"/>
    <w:link w:val="Heading4Char"/>
    <w:uiPriority w:val="9"/>
    <w:unhideWhenUsed/>
    <w:qFormat/>
    <w:rsid w:val="009E771B"/>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ocked/>
    <w:rsid w:val="00585539"/>
    <w:rPr>
      <w:rFonts w:ascii="Trebuchet MS" w:hAnsi="Trebuchet MS" w:cs="Times New Roman"/>
      <w:b/>
      <w:bCs/>
      <w:noProof w:val="0"/>
      <w:color w:val="002B5F"/>
      <w:sz w:val="31"/>
      <w:szCs w:val="31"/>
      <w:lang w:eastAsia="en-GB"/>
    </w:rPr>
  </w:style>
  <w:style w:type="paragraph" w:styleId="Header">
    <w:name w:val="header"/>
    <w:basedOn w:val="Normal"/>
    <w:uiPriority w:val="99"/>
    <w:rsid w:val="00585539"/>
    <w:pPr>
      <w:tabs>
        <w:tab w:val="center" w:pos="4153"/>
        <w:tab w:val="right" w:pos="8306"/>
      </w:tabs>
    </w:pPr>
  </w:style>
  <w:style w:type="character" w:customStyle="1" w:styleId="HeaderChar">
    <w:name w:val="Header Char"/>
    <w:uiPriority w:val="99"/>
    <w:locked/>
    <w:rsid w:val="00585539"/>
    <w:rPr>
      <w:rFonts w:ascii="Times New Roman" w:hAnsi="Times New Roman" w:cs="Times New Roman"/>
      <w:noProof w:val="0"/>
      <w:sz w:val="24"/>
      <w:szCs w:val="24"/>
      <w:lang w:eastAsia="en-GB"/>
    </w:rPr>
  </w:style>
  <w:style w:type="paragraph" w:styleId="Footer">
    <w:name w:val="footer"/>
    <w:basedOn w:val="Normal"/>
    <w:uiPriority w:val="99"/>
    <w:rsid w:val="00585539"/>
    <w:pPr>
      <w:tabs>
        <w:tab w:val="center" w:pos="4153"/>
        <w:tab w:val="right" w:pos="8306"/>
      </w:tabs>
    </w:pPr>
  </w:style>
  <w:style w:type="character" w:customStyle="1" w:styleId="FooterChar">
    <w:name w:val="Footer Char"/>
    <w:uiPriority w:val="99"/>
    <w:locked/>
    <w:rsid w:val="00585539"/>
    <w:rPr>
      <w:rFonts w:ascii="Times New Roman" w:hAnsi="Times New Roman" w:cs="Times New Roman"/>
      <w:noProof w:val="0"/>
      <w:sz w:val="24"/>
      <w:szCs w:val="24"/>
      <w:lang w:eastAsia="en-GB"/>
    </w:rPr>
  </w:style>
  <w:style w:type="paragraph" w:styleId="Title">
    <w:name w:val="Title"/>
    <w:basedOn w:val="Normal"/>
    <w:rsid w:val="00585539"/>
    <w:pPr>
      <w:spacing w:before="600" w:after="200"/>
      <w:outlineLvl w:val="0"/>
    </w:pPr>
    <w:rPr>
      <w:rFonts w:cs="Arial"/>
      <w:b/>
      <w:bCs/>
      <w:color w:val="083863"/>
      <w:kern w:val="28"/>
      <w:sz w:val="72"/>
      <w:szCs w:val="32"/>
    </w:rPr>
  </w:style>
  <w:style w:type="character" w:customStyle="1" w:styleId="TitleChar">
    <w:name w:val="Title Char"/>
    <w:locked/>
    <w:rsid w:val="00585539"/>
    <w:rPr>
      <w:rFonts w:ascii="Arial" w:hAnsi="Arial" w:cs="Arial"/>
      <w:b/>
      <w:bCs/>
      <w:noProof w:val="0"/>
      <w:color w:val="083863"/>
      <w:kern w:val="28"/>
      <w:sz w:val="32"/>
      <w:szCs w:val="32"/>
      <w:lang w:eastAsia="en-GB"/>
    </w:rPr>
  </w:style>
  <w:style w:type="paragraph" w:customStyle="1" w:styleId="BodyText1">
    <w:name w:val="Body Text1"/>
    <w:basedOn w:val="Normal"/>
    <w:rsid w:val="00585539"/>
    <w:pPr>
      <w:tabs>
        <w:tab w:val="left" w:pos="2552"/>
      </w:tabs>
      <w:spacing w:before="100"/>
    </w:pPr>
    <w:rPr>
      <w:lang w:eastAsia="en-US"/>
    </w:rPr>
  </w:style>
  <w:style w:type="character" w:customStyle="1" w:styleId="BodytextChar">
    <w:name w:val="Body text Char"/>
    <w:locked/>
    <w:rsid w:val="00585539"/>
    <w:rPr>
      <w:rFonts w:ascii="Arial" w:hAnsi="Arial" w:cs="Times New Roman"/>
      <w:sz w:val="24"/>
      <w:szCs w:val="24"/>
    </w:rPr>
  </w:style>
  <w:style w:type="paragraph" w:customStyle="1" w:styleId="Contact">
    <w:name w:val="Contact"/>
    <w:basedOn w:val="BodyText1"/>
    <w:rsid w:val="00585539"/>
    <w:pPr>
      <w:tabs>
        <w:tab w:val="clear" w:pos="2552"/>
      </w:tabs>
      <w:spacing w:before="0" w:after="60"/>
      <w:ind w:left="397"/>
    </w:pPr>
    <w:rPr>
      <w:lang w:eastAsia="en-GB"/>
    </w:rPr>
  </w:style>
  <w:style w:type="paragraph" w:customStyle="1" w:styleId="Ahead">
    <w:name w:val="A head"/>
    <w:basedOn w:val="Normal"/>
    <w:rsid w:val="00585539"/>
    <w:pPr>
      <w:keepNext/>
      <w:spacing w:before="600"/>
      <w:outlineLvl w:val="0"/>
    </w:pPr>
    <w:rPr>
      <w:b/>
      <w:bCs/>
      <w:color w:val="083863"/>
      <w:kern w:val="32"/>
      <w:sz w:val="40"/>
      <w:szCs w:val="20"/>
      <w:lang w:eastAsia="en-US"/>
    </w:rPr>
  </w:style>
  <w:style w:type="paragraph" w:customStyle="1" w:styleId="Bhead">
    <w:name w:val="B head"/>
    <w:basedOn w:val="Normal"/>
    <w:rsid w:val="00585539"/>
    <w:pPr>
      <w:keepNext/>
      <w:spacing w:before="200"/>
      <w:outlineLvl w:val="0"/>
    </w:pPr>
    <w:rPr>
      <w:color w:val="083863"/>
      <w:kern w:val="32"/>
      <w:sz w:val="36"/>
      <w:szCs w:val="20"/>
      <w:lang w:eastAsia="en-US"/>
    </w:rPr>
  </w:style>
  <w:style w:type="paragraph" w:customStyle="1" w:styleId="Chead">
    <w:name w:val="C head"/>
    <w:basedOn w:val="Normal"/>
    <w:rsid w:val="00585539"/>
    <w:pPr>
      <w:keepNext/>
      <w:spacing w:before="100"/>
      <w:outlineLvl w:val="0"/>
    </w:pPr>
    <w:rPr>
      <w:kern w:val="32"/>
      <w:sz w:val="28"/>
      <w:szCs w:val="20"/>
      <w:lang w:eastAsia="en-US"/>
    </w:rPr>
  </w:style>
  <w:style w:type="paragraph" w:customStyle="1" w:styleId="Tabletext">
    <w:name w:val="Table text"/>
    <w:basedOn w:val="BodyText1"/>
    <w:rsid w:val="00585539"/>
    <w:pPr>
      <w:tabs>
        <w:tab w:val="clear" w:pos="2552"/>
      </w:tabs>
      <w:spacing w:after="100"/>
    </w:pPr>
    <w:rPr>
      <w:b/>
    </w:rPr>
  </w:style>
  <w:style w:type="character" w:styleId="PageNumber">
    <w:name w:val="page number"/>
    <w:semiHidden/>
    <w:rsid w:val="00585539"/>
    <w:rPr>
      <w:rFonts w:cs="Times New Roman"/>
    </w:rPr>
  </w:style>
  <w:style w:type="character" w:styleId="Hyperlink">
    <w:name w:val="Hyperlink"/>
    <w:uiPriority w:val="99"/>
    <w:rsid w:val="00585539"/>
    <w:rPr>
      <w:rFonts w:cs="Times New Roman"/>
      <w:color w:val="0000FF"/>
      <w:u w:val="single"/>
    </w:rPr>
  </w:style>
  <w:style w:type="paragraph" w:styleId="BlockText">
    <w:name w:val="Block Text"/>
    <w:basedOn w:val="Normal"/>
    <w:semiHidden/>
    <w:rsid w:val="00585539"/>
    <w:pPr>
      <w:ind w:left="720" w:right="283"/>
    </w:pPr>
    <w:rPr>
      <w:szCs w:val="20"/>
      <w:lang w:eastAsia="en-US"/>
    </w:rPr>
  </w:style>
  <w:style w:type="paragraph" w:customStyle="1" w:styleId="Default">
    <w:name w:val="Default"/>
    <w:uiPriority w:val="99"/>
    <w:rsid w:val="00585539"/>
    <w:pPr>
      <w:autoSpaceDE w:val="0"/>
      <w:autoSpaceDN w:val="0"/>
      <w:adjustRightInd w:val="0"/>
    </w:pPr>
    <w:rPr>
      <w:rFonts w:ascii="Arial" w:hAnsi="Arial" w:cs="Arial"/>
      <w:color w:val="000000"/>
      <w:sz w:val="24"/>
      <w:szCs w:val="24"/>
      <w:lang w:eastAsia="en-US"/>
    </w:rPr>
  </w:style>
  <w:style w:type="paragraph" w:styleId="NormalWeb">
    <w:name w:val="Normal (Web)"/>
    <w:basedOn w:val="Default"/>
    <w:next w:val="Default"/>
    <w:uiPriority w:val="99"/>
    <w:rsid w:val="00585539"/>
    <w:rPr>
      <w:color w:val="auto"/>
    </w:rPr>
  </w:style>
  <w:style w:type="paragraph" w:styleId="BalloonText">
    <w:name w:val="Balloon Text"/>
    <w:basedOn w:val="Normal"/>
    <w:semiHidden/>
    <w:unhideWhenUsed/>
    <w:rsid w:val="00585539"/>
    <w:rPr>
      <w:rFonts w:ascii="Tahoma" w:hAnsi="Tahoma" w:cs="Tahoma"/>
      <w:sz w:val="16"/>
      <w:szCs w:val="16"/>
    </w:rPr>
  </w:style>
  <w:style w:type="character" w:customStyle="1" w:styleId="BalloonTextChar">
    <w:name w:val="Balloon Text Char"/>
    <w:semiHidden/>
    <w:locked/>
    <w:rsid w:val="00585539"/>
    <w:rPr>
      <w:rFonts w:ascii="Tahoma" w:hAnsi="Tahoma" w:cs="Tahoma"/>
      <w:noProof w:val="0"/>
      <w:sz w:val="16"/>
      <w:szCs w:val="16"/>
      <w:lang w:eastAsia="en-GB"/>
    </w:rPr>
  </w:style>
  <w:style w:type="character" w:styleId="CommentReference">
    <w:name w:val="annotation reference"/>
    <w:uiPriority w:val="99"/>
    <w:semiHidden/>
    <w:unhideWhenUsed/>
    <w:rsid w:val="00585539"/>
    <w:rPr>
      <w:rFonts w:cs="Times New Roman"/>
      <w:sz w:val="16"/>
      <w:szCs w:val="16"/>
    </w:rPr>
  </w:style>
  <w:style w:type="paragraph" w:styleId="CommentText">
    <w:name w:val="annotation text"/>
    <w:basedOn w:val="Normal"/>
    <w:uiPriority w:val="99"/>
    <w:semiHidden/>
    <w:unhideWhenUsed/>
    <w:rsid w:val="00585539"/>
    <w:rPr>
      <w:sz w:val="20"/>
      <w:szCs w:val="20"/>
    </w:rPr>
  </w:style>
  <w:style w:type="character" w:customStyle="1" w:styleId="CommentTextChar">
    <w:name w:val="Comment Text Char"/>
    <w:uiPriority w:val="99"/>
    <w:semiHidden/>
    <w:locked/>
    <w:rsid w:val="00585539"/>
    <w:rPr>
      <w:rFonts w:ascii="Times New Roman" w:hAnsi="Times New Roman" w:cs="Times New Roman"/>
      <w:noProof w:val="0"/>
      <w:sz w:val="20"/>
      <w:szCs w:val="20"/>
      <w:lang w:eastAsia="en-GB"/>
    </w:rPr>
  </w:style>
  <w:style w:type="paragraph" w:styleId="CommentSubject">
    <w:name w:val="annotation subject"/>
    <w:basedOn w:val="CommentText"/>
    <w:next w:val="CommentText"/>
    <w:semiHidden/>
    <w:unhideWhenUsed/>
    <w:rsid w:val="00585539"/>
    <w:rPr>
      <w:b/>
      <w:bCs/>
    </w:rPr>
  </w:style>
  <w:style w:type="character" w:customStyle="1" w:styleId="CommentSubjectChar">
    <w:name w:val="Comment Subject Char"/>
    <w:semiHidden/>
    <w:locked/>
    <w:rsid w:val="00585539"/>
    <w:rPr>
      <w:rFonts w:ascii="Times New Roman" w:hAnsi="Times New Roman" w:cs="Times New Roman"/>
      <w:b/>
      <w:bCs/>
      <w:noProof w:val="0"/>
      <w:sz w:val="20"/>
      <w:szCs w:val="20"/>
      <w:lang w:eastAsia="en-GB"/>
    </w:rPr>
  </w:style>
  <w:style w:type="character" w:customStyle="1" w:styleId="caps">
    <w:name w:val="caps"/>
    <w:rsid w:val="00585539"/>
    <w:rPr>
      <w:rFonts w:cs="Times New Roman"/>
    </w:rPr>
  </w:style>
  <w:style w:type="paragraph" w:styleId="ListParagraph">
    <w:name w:val="List Paragraph"/>
    <w:basedOn w:val="Normal"/>
    <w:uiPriority w:val="34"/>
    <w:qFormat/>
    <w:rsid w:val="00585539"/>
    <w:pPr>
      <w:ind w:left="720"/>
      <w:contextualSpacing/>
    </w:pPr>
  </w:style>
  <w:style w:type="character" w:styleId="FollowedHyperlink">
    <w:name w:val="FollowedHyperlink"/>
    <w:semiHidden/>
    <w:unhideWhenUsed/>
    <w:rsid w:val="00585539"/>
    <w:rPr>
      <w:rFonts w:cs="Times New Roman"/>
      <w:color w:val="800080"/>
      <w:u w:val="single"/>
    </w:rPr>
  </w:style>
  <w:style w:type="character" w:customStyle="1" w:styleId="Heading3Char">
    <w:name w:val="Heading 3 Char"/>
    <w:link w:val="Heading3"/>
    <w:uiPriority w:val="9"/>
    <w:rsid w:val="00007242"/>
    <w:rPr>
      <w:rFonts w:ascii="Arial" w:hAnsi="Arial" w:cs="Arial"/>
      <w:b/>
      <w:bCs/>
      <w:sz w:val="24"/>
      <w:szCs w:val="28"/>
    </w:rPr>
  </w:style>
  <w:style w:type="paragraph" w:styleId="ListBullet">
    <w:name w:val="List Bullet"/>
    <w:basedOn w:val="Normal"/>
    <w:semiHidden/>
    <w:rsid w:val="00D37FA6"/>
    <w:pPr>
      <w:numPr>
        <w:numId w:val="1"/>
      </w:numPr>
      <w:tabs>
        <w:tab w:val="right" w:pos="9029"/>
      </w:tabs>
      <w:spacing w:after="240"/>
    </w:pPr>
    <w:rPr>
      <w:lang w:eastAsia="en-US"/>
    </w:rPr>
  </w:style>
  <w:style w:type="paragraph" w:styleId="ListBullet2">
    <w:name w:val="List Bullet 2"/>
    <w:basedOn w:val="Normal"/>
    <w:semiHidden/>
    <w:rsid w:val="00D37FA6"/>
    <w:pPr>
      <w:numPr>
        <w:ilvl w:val="2"/>
        <w:numId w:val="1"/>
      </w:numPr>
      <w:tabs>
        <w:tab w:val="right" w:pos="9029"/>
      </w:tabs>
      <w:spacing w:after="240"/>
    </w:pPr>
    <w:rPr>
      <w:lang w:eastAsia="en-US"/>
    </w:rPr>
  </w:style>
  <w:style w:type="paragraph" w:styleId="ListContinue">
    <w:name w:val="List Continue"/>
    <w:basedOn w:val="Normal"/>
    <w:semiHidden/>
    <w:rsid w:val="00D37FA6"/>
    <w:pPr>
      <w:numPr>
        <w:ilvl w:val="1"/>
        <w:numId w:val="1"/>
      </w:numPr>
      <w:tabs>
        <w:tab w:val="right" w:pos="9029"/>
      </w:tabs>
      <w:spacing w:after="240"/>
    </w:pPr>
    <w:rPr>
      <w:lang w:eastAsia="en-US"/>
    </w:rPr>
  </w:style>
  <w:style w:type="paragraph" w:styleId="ListContinue2">
    <w:name w:val="List Continue 2"/>
    <w:basedOn w:val="Normal"/>
    <w:semiHidden/>
    <w:rsid w:val="00D37FA6"/>
    <w:pPr>
      <w:numPr>
        <w:ilvl w:val="3"/>
        <w:numId w:val="1"/>
      </w:numPr>
      <w:tabs>
        <w:tab w:val="right" w:pos="9029"/>
      </w:tabs>
      <w:spacing w:after="240"/>
    </w:pPr>
    <w:rPr>
      <w:lang w:eastAsia="en-US"/>
    </w:rPr>
  </w:style>
  <w:style w:type="character" w:styleId="Emphasis">
    <w:name w:val="Emphasis"/>
    <w:qFormat/>
    <w:rsid w:val="00D37FA6"/>
    <w:rPr>
      <w:i/>
      <w:iCs/>
    </w:rPr>
  </w:style>
  <w:style w:type="character" w:styleId="Strong">
    <w:name w:val="Strong"/>
    <w:uiPriority w:val="22"/>
    <w:qFormat/>
    <w:rsid w:val="00D37FA6"/>
    <w:rPr>
      <w:b/>
      <w:bCs/>
    </w:rPr>
  </w:style>
  <w:style w:type="paragraph" w:customStyle="1" w:styleId="Normal1">
    <w:name w:val="Normal1"/>
    <w:basedOn w:val="Normal"/>
    <w:rsid w:val="00D37FA6"/>
    <w:pPr>
      <w:spacing w:before="100" w:beforeAutospacing="1" w:after="100" w:afterAutospacing="1"/>
    </w:pPr>
  </w:style>
  <w:style w:type="character" w:customStyle="1" w:styleId="Heading1Char">
    <w:name w:val="Heading 1 Char"/>
    <w:link w:val="Heading1"/>
    <w:uiPriority w:val="9"/>
    <w:rsid w:val="00474F00"/>
    <w:rPr>
      <w:rFonts w:ascii="Arial" w:eastAsia="Times New Roman" w:hAnsi="Arial" w:cs="Times New Roman"/>
      <w:b/>
      <w:bCs/>
      <w:sz w:val="44"/>
      <w:szCs w:val="44"/>
    </w:rPr>
  </w:style>
  <w:style w:type="character" w:customStyle="1" w:styleId="Heading4Char">
    <w:name w:val="Heading 4 Char"/>
    <w:link w:val="Heading4"/>
    <w:uiPriority w:val="9"/>
    <w:rsid w:val="009E771B"/>
    <w:rPr>
      <w:rFonts w:ascii="Arial" w:hAnsi="Arial" w:cs="Arial"/>
      <w:b/>
      <w:sz w:val="24"/>
      <w:szCs w:val="24"/>
      <w:lang w:eastAsia="en-US"/>
    </w:rPr>
  </w:style>
  <w:style w:type="paragraph" w:styleId="DocumentMap">
    <w:name w:val="Document Map"/>
    <w:basedOn w:val="Normal"/>
    <w:link w:val="DocumentMapChar"/>
    <w:uiPriority w:val="99"/>
    <w:semiHidden/>
    <w:unhideWhenUsed/>
    <w:rsid w:val="005B2B73"/>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B2B73"/>
    <w:rPr>
      <w:rFonts w:ascii="Tahoma" w:hAnsi="Tahoma" w:cs="Tahoma"/>
      <w:sz w:val="16"/>
      <w:szCs w:val="16"/>
    </w:rPr>
  </w:style>
  <w:style w:type="paragraph" w:styleId="FootnoteText">
    <w:name w:val="footnote text"/>
    <w:basedOn w:val="Normal"/>
    <w:link w:val="FootnoteTextChar"/>
    <w:uiPriority w:val="99"/>
    <w:semiHidden/>
    <w:rsid w:val="00E52A6B"/>
    <w:pPr>
      <w:tabs>
        <w:tab w:val="right" w:pos="9029"/>
      </w:tabs>
      <w:suppressAutoHyphens w:val="0"/>
      <w:spacing w:after="80" w:line="200" w:lineRule="exact"/>
      <w:ind w:firstLine="288"/>
    </w:pPr>
    <w:rPr>
      <w:rFonts w:ascii="Times New Roman" w:hAnsi="Times New Roman"/>
      <w:sz w:val="19"/>
      <w:szCs w:val="20"/>
      <w:lang w:val="x-none" w:eastAsia="en-US"/>
    </w:rPr>
  </w:style>
  <w:style w:type="character" w:customStyle="1" w:styleId="FootnoteTextChar">
    <w:name w:val="Footnote Text Char"/>
    <w:link w:val="FootnoteText"/>
    <w:uiPriority w:val="99"/>
    <w:semiHidden/>
    <w:rsid w:val="00E52A6B"/>
    <w:rPr>
      <w:rFonts w:ascii="Times New Roman" w:hAnsi="Times New Roman"/>
      <w:sz w:val="19"/>
      <w:lang w:val="x-none" w:eastAsia="en-US"/>
    </w:rPr>
  </w:style>
  <w:style w:type="character" w:customStyle="1" w:styleId="Ref">
    <w:name w:val="Ref"/>
    <w:rsid w:val="00E52A6B"/>
  </w:style>
  <w:style w:type="character" w:customStyle="1" w:styleId="apple-converted-space">
    <w:name w:val="apple-converted-space"/>
    <w:rsid w:val="00E5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078">
      <w:bodyDiv w:val="1"/>
      <w:marLeft w:val="0"/>
      <w:marRight w:val="0"/>
      <w:marTop w:val="0"/>
      <w:marBottom w:val="0"/>
      <w:divBdr>
        <w:top w:val="none" w:sz="0" w:space="0" w:color="auto"/>
        <w:left w:val="none" w:sz="0" w:space="0" w:color="auto"/>
        <w:bottom w:val="none" w:sz="0" w:space="0" w:color="auto"/>
        <w:right w:val="none" w:sz="0" w:space="0" w:color="auto"/>
      </w:divBdr>
    </w:div>
    <w:div w:id="66616896">
      <w:bodyDiv w:val="1"/>
      <w:marLeft w:val="0"/>
      <w:marRight w:val="0"/>
      <w:marTop w:val="0"/>
      <w:marBottom w:val="0"/>
      <w:divBdr>
        <w:top w:val="none" w:sz="0" w:space="0" w:color="auto"/>
        <w:left w:val="none" w:sz="0" w:space="0" w:color="auto"/>
        <w:bottom w:val="none" w:sz="0" w:space="0" w:color="auto"/>
        <w:right w:val="none" w:sz="0" w:space="0" w:color="auto"/>
      </w:divBdr>
    </w:div>
    <w:div w:id="139814781">
      <w:bodyDiv w:val="1"/>
      <w:marLeft w:val="0"/>
      <w:marRight w:val="0"/>
      <w:marTop w:val="0"/>
      <w:marBottom w:val="0"/>
      <w:divBdr>
        <w:top w:val="none" w:sz="0" w:space="0" w:color="auto"/>
        <w:left w:val="none" w:sz="0" w:space="0" w:color="auto"/>
        <w:bottom w:val="none" w:sz="0" w:space="0" w:color="auto"/>
        <w:right w:val="none" w:sz="0" w:space="0" w:color="auto"/>
      </w:divBdr>
    </w:div>
    <w:div w:id="554121251">
      <w:bodyDiv w:val="1"/>
      <w:marLeft w:val="0"/>
      <w:marRight w:val="0"/>
      <w:marTop w:val="0"/>
      <w:marBottom w:val="0"/>
      <w:divBdr>
        <w:top w:val="none" w:sz="0" w:space="0" w:color="auto"/>
        <w:left w:val="none" w:sz="0" w:space="0" w:color="auto"/>
        <w:bottom w:val="none" w:sz="0" w:space="0" w:color="auto"/>
        <w:right w:val="none" w:sz="0" w:space="0" w:color="auto"/>
      </w:divBdr>
      <w:divsChild>
        <w:div w:id="1547334294">
          <w:marLeft w:val="0"/>
          <w:marRight w:val="0"/>
          <w:marTop w:val="0"/>
          <w:marBottom w:val="0"/>
          <w:divBdr>
            <w:top w:val="none" w:sz="0" w:space="0" w:color="auto"/>
            <w:left w:val="none" w:sz="0" w:space="0" w:color="auto"/>
            <w:bottom w:val="none" w:sz="0" w:space="0" w:color="auto"/>
            <w:right w:val="none" w:sz="0" w:space="0" w:color="auto"/>
          </w:divBdr>
          <w:divsChild>
            <w:div w:id="12153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4088">
      <w:bodyDiv w:val="1"/>
      <w:marLeft w:val="0"/>
      <w:marRight w:val="0"/>
      <w:marTop w:val="0"/>
      <w:marBottom w:val="0"/>
      <w:divBdr>
        <w:top w:val="none" w:sz="0" w:space="0" w:color="auto"/>
        <w:left w:val="none" w:sz="0" w:space="0" w:color="auto"/>
        <w:bottom w:val="none" w:sz="0" w:space="0" w:color="auto"/>
        <w:right w:val="none" w:sz="0" w:space="0" w:color="auto"/>
      </w:divBdr>
    </w:div>
    <w:div w:id="676857126">
      <w:bodyDiv w:val="1"/>
      <w:marLeft w:val="0"/>
      <w:marRight w:val="0"/>
      <w:marTop w:val="0"/>
      <w:marBottom w:val="0"/>
      <w:divBdr>
        <w:top w:val="none" w:sz="0" w:space="0" w:color="auto"/>
        <w:left w:val="none" w:sz="0" w:space="0" w:color="auto"/>
        <w:bottom w:val="none" w:sz="0" w:space="0" w:color="auto"/>
        <w:right w:val="none" w:sz="0" w:space="0" w:color="auto"/>
      </w:divBdr>
    </w:div>
    <w:div w:id="699206131">
      <w:bodyDiv w:val="1"/>
      <w:marLeft w:val="0"/>
      <w:marRight w:val="0"/>
      <w:marTop w:val="0"/>
      <w:marBottom w:val="0"/>
      <w:divBdr>
        <w:top w:val="none" w:sz="0" w:space="0" w:color="auto"/>
        <w:left w:val="none" w:sz="0" w:space="0" w:color="auto"/>
        <w:bottom w:val="none" w:sz="0" w:space="0" w:color="auto"/>
        <w:right w:val="none" w:sz="0" w:space="0" w:color="auto"/>
      </w:divBdr>
    </w:div>
    <w:div w:id="1133910107">
      <w:bodyDiv w:val="1"/>
      <w:marLeft w:val="0"/>
      <w:marRight w:val="0"/>
      <w:marTop w:val="0"/>
      <w:marBottom w:val="0"/>
      <w:divBdr>
        <w:top w:val="none" w:sz="0" w:space="0" w:color="auto"/>
        <w:left w:val="none" w:sz="0" w:space="0" w:color="auto"/>
        <w:bottom w:val="none" w:sz="0" w:space="0" w:color="auto"/>
        <w:right w:val="none" w:sz="0" w:space="0" w:color="auto"/>
      </w:divBdr>
    </w:div>
    <w:div w:id="1197889484">
      <w:bodyDiv w:val="1"/>
      <w:marLeft w:val="0"/>
      <w:marRight w:val="0"/>
      <w:marTop w:val="0"/>
      <w:marBottom w:val="0"/>
      <w:divBdr>
        <w:top w:val="none" w:sz="0" w:space="0" w:color="auto"/>
        <w:left w:val="none" w:sz="0" w:space="0" w:color="auto"/>
        <w:bottom w:val="none" w:sz="0" w:space="0" w:color="auto"/>
        <w:right w:val="none" w:sz="0" w:space="0" w:color="auto"/>
      </w:divBdr>
      <w:divsChild>
        <w:div w:id="1237857572">
          <w:marLeft w:val="0"/>
          <w:marRight w:val="0"/>
          <w:marTop w:val="0"/>
          <w:marBottom w:val="225"/>
          <w:divBdr>
            <w:top w:val="none" w:sz="0" w:space="0" w:color="auto"/>
            <w:left w:val="none" w:sz="0" w:space="0" w:color="auto"/>
            <w:bottom w:val="none" w:sz="0" w:space="0" w:color="auto"/>
            <w:right w:val="none" w:sz="0" w:space="0" w:color="auto"/>
          </w:divBdr>
          <w:divsChild>
            <w:div w:id="923758602">
              <w:marLeft w:val="0"/>
              <w:marRight w:val="0"/>
              <w:marTop w:val="90"/>
              <w:marBottom w:val="0"/>
              <w:divBdr>
                <w:top w:val="none" w:sz="0" w:space="0" w:color="auto"/>
                <w:left w:val="none" w:sz="0" w:space="0" w:color="auto"/>
                <w:bottom w:val="none" w:sz="0" w:space="0" w:color="auto"/>
                <w:right w:val="none" w:sz="0" w:space="0" w:color="auto"/>
              </w:divBdr>
              <w:divsChild>
                <w:div w:id="1134568018">
                  <w:marLeft w:val="0"/>
                  <w:marRight w:val="0"/>
                  <w:marTop w:val="0"/>
                  <w:marBottom w:val="0"/>
                  <w:divBdr>
                    <w:top w:val="none" w:sz="0" w:space="0" w:color="auto"/>
                    <w:left w:val="none" w:sz="0" w:space="0" w:color="auto"/>
                    <w:bottom w:val="none" w:sz="0" w:space="0" w:color="auto"/>
                    <w:right w:val="none" w:sz="0" w:space="0" w:color="auto"/>
                  </w:divBdr>
                  <w:divsChild>
                    <w:div w:id="815218871">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19775">
      <w:bodyDiv w:val="1"/>
      <w:marLeft w:val="0"/>
      <w:marRight w:val="0"/>
      <w:marTop w:val="0"/>
      <w:marBottom w:val="0"/>
      <w:divBdr>
        <w:top w:val="none" w:sz="0" w:space="0" w:color="auto"/>
        <w:left w:val="none" w:sz="0" w:space="0" w:color="auto"/>
        <w:bottom w:val="none" w:sz="0" w:space="0" w:color="auto"/>
        <w:right w:val="none" w:sz="0" w:space="0" w:color="auto"/>
      </w:divBdr>
    </w:div>
    <w:div w:id="1388841671">
      <w:bodyDiv w:val="1"/>
      <w:marLeft w:val="0"/>
      <w:marRight w:val="0"/>
      <w:marTop w:val="0"/>
      <w:marBottom w:val="0"/>
      <w:divBdr>
        <w:top w:val="none" w:sz="0" w:space="0" w:color="auto"/>
        <w:left w:val="none" w:sz="0" w:space="0" w:color="auto"/>
        <w:bottom w:val="none" w:sz="0" w:space="0" w:color="auto"/>
        <w:right w:val="none" w:sz="0" w:space="0" w:color="auto"/>
      </w:divBdr>
    </w:div>
    <w:div w:id="1606037466">
      <w:bodyDiv w:val="1"/>
      <w:marLeft w:val="0"/>
      <w:marRight w:val="0"/>
      <w:marTop w:val="0"/>
      <w:marBottom w:val="0"/>
      <w:divBdr>
        <w:top w:val="none" w:sz="0" w:space="0" w:color="auto"/>
        <w:left w:val="none" w:sz="0" w:space="0" w:color="auto"/>
        <w:bottom w:val="none" w:sz="0" w:space="0" w:color="auto"/>
        <w:right w:val="none" w:sz="0" w:space="0" w:color="auto"/>
      </w:divBdr>
    </w:div>
    <w:div w:id="1786390983">
      <w:bodyDiv w:val="1"/>
      <w:marLeft w:val="0"/>
      <w:marRight w:val="0"/>
      <w:marTop w:val="0"/>
      <w:marBottom w:val="0"/>
      <w:divBdr>
        <w:top w:val="none" w:sz="0" w:space="0" w:color="auto"/>
        <w:left w:val="none" w:sz="0" w:space="0" w:color="auto"/>
        <w:bottom w:val="none" w:sz="0" w:space="0" w:color="auto"/>
        <w:right w:val="none" w:sz="0" w:space="0" w:color="auto"/>
      </w:divBdr>
    </w:div>
    <w:div w:id="1969124525">
      <w:bodyDiv w:val="1"/>
      <w:marLeft w:val="0"/>
      <w:marRight w:val="0"/>
      <w:marTop w:val="0"/>
      <w:marBottom w:val="0"/>
      <w:divBdr>
        <w:top w:val="none" w:sz="0" w:space="0" w:color="auto"/>
        <w:left w:val="none" w:sz="0" w:space="0" w:color="auto"/>
        <w:bottom w:val="none" w:sz="0" w:space="0" w:color="auto"/>
        <w:right w:val="none" w:sz="0" w:space="0" w:color="auto"/>
      </w:divBdr>
    </w:div>
    <w:div w:id="2095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examregs/" TargetMode="External"/><Relationship Id="rId13" Type="http://schemas.openxmlformats.org/officeDocument/2006/relationships/hyperlink" Target="https://www.psy.ox.ac.uk/about-us/job-opportunities" TargetMode="External"/><Relationship Id="rId18" Type="http://schemas.openxmlformats.org/officeDocument/2006/relationships/hyperlink" Target="http://www.qaa.ac.uk/reviews/reports/subjectLevel/q313_00.pdf" TargetMode="External"/><Relationship Id="rId26" Type="http://schemas.openxmlformats.org/officeDocument/2006/relationships/hyperlink" Target="http://www.club.ox.ac.uk"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cu.ac.uk/equality-charter-marks/athena-swan/" TargetMode="External"/><Relationship Id="rId34" Type="http://schemas.openxmlformats.org/officeDocument/2006/relationships/hyperlink" Target="http://www.admin.ox.ac.uk/personnel/staffinfo/benefit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x.ac.uk/admissions/postgraduate_courses/apply/application_guide/" TargetMode="External"/><Relationship Id="rId17" Type="http://schemas.openxmlformats.org/officeDocument/2006/relationships/hyperlink" Target="http://www.ox.ac.uk/about/organisation" TargetMode="External"/><Relationship Id="rId25" Type="http://schemas.openxmlformats.org/officeDocument/2006/relationships/hyperlink" Target="http://www.admin.ox.ac.uk/personnel/end/retirement/acrelretire8+/" TargetMode="External"/><Relationship Id="rId33" Type="http://schemas.openxmlformats.org/officeDocument/2006/relationships/hyperlink" Target="http://www.admin.ox.ac.uk/eop/inpractice/network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ecruit.ox.ac.uk/" TargetMode="External"/><Relationship Id="rId20" Type="http://schemas.openxmlformats.org/officeDocument/2006/relationships/hyperlink" Target="http://www.psy.ox.ac.uk" TargetMode="External"/><Relationship Id="rId29" Type="http://schemas.openxmlformats.org/officeDocument/2006/relationships/hyperlink" Target="http://www.newcomers.ox.ac.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b.ox.ac.uk/" TargetMode="External"/><Relationship Id="rId24" Type="http://schemas.openxmlformats.org/officeDocument/2006/relationships/hyperlink" Target="http://www.admin.ox.ac.uk/personnel/end/retirement/acrelretire8+/" TargetMode="External"/><Relationship Id="rId32" Type="http://schemas.openxmlformats.org/officeDocument/2006/relationships/hyperlink" Target="http://www.admin.ox.ac.uk/eop/disab/staf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ox.ac.uk/about_the_university/jobs/support/" TargetMode="External"/><Relationship Id="rId23" Type="http://schemas.openxmlformats.org/officeDocument/2006/relationships/hyperlink" Target="http://www.ox.ac.uk/about/jobs/preemploymentscreening/" TargetMode="External"/><Relationship Id="rId28" Type="http://schemas.openxmlformats.org/officeDocument/2006/relationships/hyperlink" Target="http://www.internationalstaffwelcome.admin.ox.ac.uk/" TargetMode="External"/><Relationship Id="rId36" Type="http://schemas.openxmlformats.org/officeDocument/2006/relationships/header" Target="header2.xml"/><Relationship Id="rId10" Type="http://schemas.openxmlformats.org/officeDocument/2006/relationships/hyperlink" Target="http://www.ox.ac.uk/admissions/graduate/applying-to-oxford/application-guide" TargetMode="External"/><Relationship Id="rId19" Type="http://schemas.openxmlformats.org/officeDocument/2006/relationships/hyperlink" Target="http://www.qaa.ac.uk/reviews/reports/institutional/Oxford04/RG052_Oxford.pdf" TargetMode="External"/><Relationship Id="rId31" Type="http://schemas.openxmlformats.org/officeDocument/2006/relationships/hyperlink" Target="http://www.admin.ox.ac.uk/personnel/staffinfo/benefits/family/mfc/" TargetMode="External"/><Relationship Id="rId4" Type="http://schemas.openxmlformats.org/officeDocument/2006/relationships/settings" Target="settings.xml"/><Relationship Id="rId9" Type="http://schemas.openxmlformats.org/officeDocument/2006/relationships/hyperlink" Target="https://www.ox.ac.uk/admissions/graduate/applying-to-oxford/application-guide?wssl=1" TargetMode="External"/><Relationship Id="rId14" Type="http://schemas.openxmlformats.org/officeDocument/2006/relationships/hyperlink" Target="mailto:recruitment.support@admin.ox.ac.uk" TargetMode="External"/><Relationship Id="rId22" Type="http://schemas.openxmlformats.org/officeDocument/2006/relationships/hyperlink" Target="http://www.medsci.ox.ac.uk" TargetMode="External"/><Relationship Id="rId27" Type="http://schemas.openxmlformats.org/officeDocument/2006/relationships/hyperlink" Target="http://www.sport.ox.ac.uk/oxford-university-sports-facilities" TargetMode="External"/><Relationship Id="rId30" Type="http://schemas.openxmlformats.org/officeDocument/2006/relationships/hyperlink" Target="http://www.admin.ox.ac.uk/childcare/"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www.admin.ox.ac.uk/personnel/staffinfo/resstaff/hrexcellence/" TargetMode="External"/><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6.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B101-7FDD-4E5F-9C7B-56B7CE0C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Job description and person specificationselection criteria</vt:lpstr>
    </vt:vector>
  </TitlesOfParts>
  <Company>University of Oxford</Company>
  <LinksUpToDate>false</LinksUpToDate>
  <CharactersWithSpaces>25297</CharactersWithSpaces>
  <SharedDoc>false</SharedDoc>
  <HLinks>
    <vt:vector size="174" baseType="variant">
      <vt:variant>
        <vt:i4>2818091</vt:i4>
      </vt:variant>
      <vt:variant>
        <vt:i4>78</vt:i4>
      </vt:variant>
      <vt:variant>
        <vt:i4>0</vt:i4>
      </vt:variant>
      <vt:variant>
        <vt:i4>5</vt:i4>
      </vt:variant>
      <vt:variant>
        <vt:lpwstr>http://www.admin.ox.ac.uk/personnel/staffinfo/benefits</vt:lpwstr>
      </vt:variant>
      <vt:variant>
        <vt:lpwstr/>
      </vt:variant>
      <vt:variant>
        <vt:i4>3342441</vt:i4>
      </vt:variant>
      <vt:variant>
        <vt:i4>75</vt:i4>
      </vt:variant>
      <vt:variant>
        <vt:i4>0</vt:i4>
      </vt:variant>
      <vt:variant>
        <vt:i4>5</vt:i4>
      </vt:variant>
      <vt:variant>
        <vt:lpwstr>http://www.admin.ox.ac.uk/eop/inpractice/networks/</vt:lpwstr>
      </vt:variant>
      <vt:variant>
        <vt:lpwstr/>
      </vt:variant>
      <vt:variant>
        <vt:i4>4456541</vt:i4>
      </vt:variant>
      <vt:variant>
        <vt:i4>72</vt:i4>
      </vt:variant>
      <vt:variant>
        <vt:i4>0</vt:i4>
      </vt:variant>
      <vt:variant>
        <vt:i4>5</vt:i4>
      </vt:variant>
      <vt:variant>
        <vt:lpwstr>http://www.admin.ox.ac.uk/eop/disab/staff</vt:lpwstr>
      </vt:variant>
      <vt:variant>
        <vt:lpwstr/>
      </vt:variant>
      <vt:variant>
        <vt:i4>2752635</vt:i4>
      </vt:variant>
      <vt:variant>
        <vt:i4>69</vt:i4>
      </vt:variant>
      <vt:variant>
        <vt:i4>0</vt:i4>
      </vt:variant>
      <vt:variant>
        <vt:i4>5</vt:i4>
      </vt:variant>
      <vt:variant>
        <vt:lpwstr>http://www.admin.ox.ac.uk/personnel/staffinfo/benefits/family/mfc/</vt:lpwstr>
      </vt:variant>
      <vt:variant>
        <vt:lpwstr/>
      </vt:variant>
      <vt:variant>
        <vt:i4>720965</vt:i4>
      </vt:variant>
      <vt:variant>
        <vt:i4>66</vt:i4>
      </vt:variant>
      <vt:variant>
        <vt:i4>0</vt:i4>
      </vt:variant>
      <vt:variant>
        <vt:i4>5</vt:i4>
      </vt:variant>
      <vt:variant>
        <vt:lpwstr>http://www.admin.ox.ac.uk/childcare/</vt:lpwstr>
      </vt:variant>
      <vt:variant>
        <vt:lpwstr/>
      </vt:variant>
      <vt:variant>
        <vt:i4>3342395</vt:i4>
      </vt:variant>
      <vt:variant>
        <vt:i4>63</vt:i4>
      </vt:variant>
      <vt:variant>
        <vt:i4>0</vt:i4>
      </vt:variant>
      <vt:variant>
        <vt:i4>5</vt:i4>
      </vt:variant>
      <vt:variant>
        <vt:lpwstr>http://www.newcomers.ox.ac.uk/</vt:lpwstr>
      </vt:variant>
      <vt:variant>
        <vt:lpwstr/>
      </vt:variant>
      <vt:variant>
        <vt:i4>5701633</vt:i4>
      </vt:variant>
      <vt:variant>
        <vt:i4>60</vt:i4>
      </vt:variant>
      <vt:variant>
        <vt:i4>0</vt:i4>
      </vt:variant>
      <vt:variant>
        <vt:i4>5</vt:i4>
      </vt:variant>
      <vt:variant>
        <vt:lpwstr>http://www.internationalstaffwelcome.admin.ox.ac.uk/</vt:lpwstr>
      </vt:variant>
      <vt:variant>
        <vt:lpwstr/>
      </vt:variant>
      <vt:variant>
        <vt:i4>1179713</vt:i4>
      </vt:variant>
      <vt:variant>
        <vt:i4>57</vt:i4>
      </vt:variant>
      <vt:variant>
        <vt:i4>0</vt:i4>
      </vt:variant>
      <vt:variant>
        <vt:i4>5</vt:i4>
      </vt:variant>
      <vt:variant>
        <vt:lpwstr>http://www.sport.ox.ac.uk/oxford-university-sports-facilities</vt:lpwstr>
      </vt:variant>
      <vt:variant>
        <vt:lpwstr/>
      </vt:variant>
      <vt:variant>
        <vt:i4>5177353</vt:i4>
      </vt:variant>
      <vt:variant>
        <vt:i4>54</vt:i4>
      </vt:variant>
      <vt:variant>
        <vt:i4>0</vt:i4>
      </vt:variant>
      <vt:variant>
        <vt:i4>5</vt:i4>
      </vt:variant>
      <vt:variant>
        <vt:lpwstr>http://www.club.ox.ac.uk/</vt:lpwstr>
      </vt:variant>
      <vt:variant>
        <vt:lpwstr/>
      </vt:variant>
      <vt:variant>
        <vt:i4>458835</vt:i4>
      </vt:variant>
      <vt:variant>
        <vt:i4>51</vt:i4>
      </vt:variant>
      <vt:variant>
        <vt:i4>0</vt:i4>
      </vt:variant>
      <vt:variant>
        <vt:i4>5</vt:i4>
      </vt:variant>
      <vt:variant>
        <vt:lpwstr>http://www.admin.ox.ac.uk/personnel/end/retirement/acrelretire8+/</vt:lpwstr>
      </vt:variant>
      <vt:variant>
        <vt:lpwstr/>
      </vt:variant>
      <vt:variant>
        <vt:i4>458835</vt:i4>
      </vt:variant>
      <vt:variant>
        <vt:i4>48</vt:i4>
      </vt:variant>
      <vt:variant>
        <vt:i4>0</vt:i4>
      </vt:variant>
      <vt:variant>
        <vt:i4>5</vt:i4>
      </vt:variant>
      <vt:variant>
        <vt:lpwstr>http://www.admin.ox.ac.uk/personnel/end/retirement/acrelretire8+/</vt:lpwstr>
      </vt:variant>
      <vt:variant>
        <vt:lpwstr/>
      </vt:variant>
      <vt:variant>
        <vt:i4>2228272</vt:i4>
      </vt:variant>
      <vt:variant>
        <vt:i4>45</vt:i4>
      </vt:variant>
      <vt:variant>
        <vt:i4>0</vt:i4>
      </vt:variant>
      <vt:variant>
        <vt:i4>5</vt:i4>
      </vt:variant>
      <vt:variant>
        <vt:lpwstr>http://www.ox.ac.uk/about/jobs/preemploymentscreening/</vt:lpwstr>
      </vt:variant>
      <vt:variant>
        <vt:lpwstr/>
      </vt:variant>
      <vt:variant>
        <vt:i4>3342456</vt:i4>
      </vt:variant>
      <vt:variant>
        <vt:i4>42</vt:i4>
      </vt:variant>
      <vt:variant>
        <vt:i4>0</vt:i4>
      </vt:variant>
      <vt:variant>
        <vt:i4>5</vt:i4>
      </vt:variant>
      <vt:variant>
        <vt:lpwstr>http://www.medsci.ox.ac.uk/</vt:lpwstr>
      </vt:variant>
      <vt:variant>
        <vt:lpwstr/>
      </vt:variant>
      <vt:variant>
        <vt:i4>31</vt:i4>
      </vt:variant>
      <vt:variant>
        <vt:i4>39</vt:i4>
      </vt:variant>
      <vt:variant>
        <vt:i4>0</vt:i4>
      </vt:variant>
      <vt:variant>
        <vt:i4>5</vt:i4>
      </vt:variant>
      <vt:variant>
        <vt:lpwstr>http://www.ecu.ac.uk/equality-charter-marks/athena-swan/</vt:lpwstr>
      </vt:variant>
      <vt:variant>
        <vt:lpwstr/>
      </vt:variant>
      <vt:variant>
        <vt:i4>5898321</vt:i4>
      </vt:variant>
      <vt:variant>
        <vt:i4>36</vt:i4>
      </vt:variant>
      <vt:variant>
        <vt:i4>0</vt:i4>
      </vt:variant>
      <vt:variant>
        <vt:i4>5</vt:i4>
      </vt:variant>
      <vt:variant>
        <vt:lpwstr>http://www.psy.ox.ac.uk/</vt:lpwstr>
      </vt:variant>
      <vt:variant>
        <vt:lpwstr/>
      </vt:variant>
      <vt:variant>
        <vt:i4>7274526</vt:i4>
      </vt:variant>
      <vt:variant>
        <vt:i4>33</vt:i4>
      </vt:variant>
      <vt:variant>
        <vt:i4>0</vt:i4>
      </vt:variant>
      <vt:variant>
        <vt:i4>5</vt:i4>
      </vt:variant>
      <vt:variant>
        <vt:lpwstr>http://www.qaa.ac.uk/reviews/reports/institutional/Oxford04/RG052_Oxford.pdf</vt:lpwstr>
      </vt:variant>
      <vt:variant>
        <vt:lpwstr/>
      </vt:variant>
      <vt:variant>
        <vt:i4>5963894</vt:i4>
      </vt:variant>
      <vt:variant>
        <vt:i4>30</vt:i4>
      </vt:variant>
      <vt:variant>
        <vt:i4>0</vt:i4>
      </vt:variant>
      <vt:variant>
        <vt:i4>5</vt:i4>
      </vt:variant>
      <vt:variant>
        <vt:lpwstr>http://www.qaa.ac.uk/reviews/reports/subjectLevel/q313_00.pdf</vt:lpwstr>
      </vt:variant>
      <vt:variant>
        <vt:lpwstr/>
      </vt:variant>
      <vt:variant>
        <vt:i4>7798904</vt:i4>
      </vt:variant>
      <vt:variant>
        <vt:i4>27</vt:i4>
      </vt:variant>
      <vt:variant>
        <vt:i4>0</vt:i4>
      </vt:variant>
      <vt:variant>
        <vt:i4>5</vt:i4>
      </vt:variant>
      <vt:variant>
        <vt:lpwstr>http://www.ox.ac.uk/about/organisation</vt:lpwstr>
      </vt:variant>
      <vt:variant>
        <vt:lpwstr/>
      </vt:variant>
      <vt:variant>
        <vt:i4>4391004</vt:i4>
      </vt:variant>
      <vt:variant>
        <vt:i4>24</vt:i4>
      </vt:variant>
      <vt:variant>
        <vt:i4>0</vt:i4>
      </vt:variant>
      <vt:variant>
        <vt:i4>5</vt:i4>
      </vt:variant>
      <vt:variant>
        <vt:lpwstr>http://www.recruit.ox.ac.uk/</vt:lpwstr>
      </vt:variant>
      <vt:variant>
        <vt:lpwstr/>
      </vt:variant>
      <vt:variant>
        <vt:i4>2687026</vt:i4>
      </vt:variant>
      <vt:variant>
        <vt:i4>21</vt:i4>
      </vt:variant>
      <vt:variant>
        <vt:i4>0</vt:i4>
      </vt:variant>
      <vt:variant>
        <vt:i4>5</vt:i4>
      </vt:variant>
      <vt:variant>
        <vt:lpwstr>http://www.ox.ac.uk/about_the_university/jobs/support/</vt:lpwstr>
      </vt:variant>
      <vt:variant>
        <vt:lpwstr/>
      </vt:variant>
      <vt:variant>
        <vt:i4>5111866</vt:i4>
      </vt:variant>
      <vt:variant>
        <vt:i4>18</vt:i4>
      </vt:variant>
      <vt:variant>
        <vt:i4>0</vt:i4>
      </vt:variant>
      <vt:variant>
        <vt:i4>5</vt:i4>
      </vt:variant>
      <vt:variant>
        <vt:lpwstr>mailto:recruitment.support@admin.ox.ac.uk</vt:lpwstr>
      </vt:variant>
      <vt:variant>
        <vt:lpwstr/>
      </vt:variant>
      <vt:variant>
        <vt:i4>4128872</vt:i4>
      </vt:variant>
      <vt:variant>
        <vt:i4>15</vt:i4>
      </vt:variant>
      <vt:variant>
        <vt:i4>0</vt:i4>
      </vt:variant>
      <vt:variant>
        <vt:i4>5</vt:i4>
      </vt:variant>
      <vt:variant>
        <vt:lpwstr>https://www.psy.ox.ac.uk/about-us/job-opportunities</vt:lpwstr>
      </vt:variant>
      <vt:variant>
        <vt:lpwstr/>
      </vt:variant>
      <vt:variant>
        <vt:i4>720985</vt:i4>
      </vt:variant>
      <vt:variant>
        <vt:i4>12</vt:i4>
      </vt:variant>
      <vt:variant>
        <vt:i4>0</vt:i4>
      </vt:variant>
      <vt:variant>
        <vt:i4>5</vt:i4>
      </vt:variant>
      <vt:variant>
        <vt:lpwstr>http://www.ox.ac.uk/admissions/postgraduate_courses/apply/application_guide/</vt:lpwstr>
      </vt:variant>
      <vt:variant>
        <vt:lpwstr/>
      </vt:variant>
      <vt:variant>
        <vt:i4>4259919</vt:i4>
      </vt:variant>
      <vt:variant>
        <vt:i4>9</vt:i4>
      </vt:variant>
      <vt:variant>
        <vt:i4>0</vt:i4>
      </vt:variant>
      <vt:variant>
        <vt:i4>5</vt:i4>
      </vt:variant>
      <vt:variant>
        <vt:lpwstr>http://www.pmb.ox.ac.uk/</vt:lpwstr>
      </vt:variant>
      <vt:variant>
        <vt:lpwstr/>
      </vt:variant>
      <vt:variant>
        <vt:i4>5505025</vt:i4>
      </vt:variant>
      <vt:variant>
        <vt:i4>6</vt:i4>
      </vt:variant>
      <vt:variant>
        <vt:i4>0</vt:i4>
      </vt:variant>
      <vt:variant>
        <vt:i4>5</vt:i4>
      </vt:variant>
      <vt:variant>
        <vt:lpwstr>http://www.ox.ac.uk/admissions/graduate/applying-to-oxford/application-guide</vt:lpwstr>
      </vt:variant>
      <vt:variant>
        <vt:lpwstr/>
      </vt:variant>
      <vt:variant>
        <vt:i4>3080225</vt:i4>
      </vt:variant>
      <vt:variant>
        <vt:i4>3</vt:i4>
      </vt:variant>
      <vt:variant>
        <vt:i4>0</vt:i4>
      </vt:variant>
      <vt:variant>
        <vt:i4>5</vt:i4>
      </vt:variant>
      <vt:variant>
        <vt:lpwstr>https://www.ox.ac.uk/admissions/graduate/applying-to-oxford/application-guide?wssl=1</vt:lpwstr>
      </vt:variant>
      <vt:variant>
        <vt:lpwstr>content-tab--3</vt:lpwstr>
      </vt:variant>
      <vt:variant>
        <vt:i4>3276862</vt:i4>
      </vt:variant>
      <vt:variant>
        <vt:i4>0</vt:i4>
      </vt:variant>
      <vt:variant>
        <vt:i4>0</vt:i4>
      </vt:variant>
      <vt:variant>
        <vt:i4>5</vt:i4>
      </vt:variant>
      <vt:variant>
        <vt:lpwstr>http://www.admin.ox.ac.uk/examregs/</vt:lpwstr>
      </vt:variant>
      <vt:variant>
        <vt:lpwstr/>
      </vt:variant>
      <vt:variant>
        <vt:i4>720897</vt:i4>
      </vt:variant>
      <vt:variant>
        <vt:i4>6</vt:i4>
      </vt:variant>
      <vt:variant>
        <vt:i4>0</vt:i4>
      </vt:variant>
      <vt:variant>
        <vt:i4>5</vt:i4>
      </vt:variant>
      <vt:variant>
        <vt:lpwstr>http://www.admin.ox.ac.uk/personnel/staffinfo/resstaff/hrexcellence/</vt:lpwstr>
      </vt:variant>
      <vt:variant>
        <vt:lpwstr/>
      </vt:variant>
      <vt:variant>
        <vt:i4>720897</vt:i4>
      </vt:variant>
      <vt:variant>
        <vt:i4>52504</vt:i4>
      </vt:variant>
      <vt:variant>
        <vt:i4>1029</vt:i4>
      </vt:variant>
      <vt:variant>
        <vt:i4>4</vt:i4>
      </vt:variant>
      <vt:variant>
        <vt:lpwstr>http://www.admin.ox.ac.uk/personnel/staffinfo/resstaff/hrexcellence/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specificationselection criteria</dc:title>
  <dc:creator>Bunkham</dc:creator>
  <cp:lastModifiedBy>Tracy Tompkins</cp:lastModifiedBy>
  <cp:revision>2</cp:revision>
  <cp:lastPrinted>2018-04-24T17:05:00Z</cp:lastPrinted>
  <dcterms:created xsi:type="dcterms:W3CDTF">2018-06-12T11:25:00Z</dcterms:created>
  <dcterms:modified xsi:type="dcterms:W3CDTF">2018-06-12T11:25:00Z</dcterms:modified>
</cp:coreProperties>
</file>